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D1306" w14:textId="6574726E" w:rsidR="00C85F27" w:rsidRPr="00826D69" w:rsidRDefault="00497BE2" w:rsidP="00C85F27">
      <w:pPr>
        <w:jc w:val="both"/>
        <w:rPr>
          <w:rFonts w:eastAsia="Times New Roman" w:cs="Arial"/>
          <w:b/>
          <w:sz w:val="22"/>
          <w:lang w:eastAsia="en-GB"/>
        </w:rPr>
      </w:pPr>
      <w:r w:rsidRPr="00826D69">
        <w:rPr>
          <w:noProof/>
        </w:rPr>
        <mc:AlternateContent>
          <mc:Choice Requires="wps">
            <w:drawing>
              <wp:anchor distT="0" distB="0" distL="114300" distR="114300" simplePos="0" relativeHeight="251658240" behindDoc="0" locked="0" layoutInCell="1" allowOverlap="1" wp14:anchorId="4FD8F177" wp14:editId="0CA307F1">
                <wp:simplePos x="0" y="0"/>
                <wp:positionH relativeFrom="column">
                  <wp:posOffset>2372995</wp:posOffset>
                </wp:positionH>
                <wp:positionV relativeFrom="paragraph">
                  <wp:posOffset>120650</wp:posOffset>
                </wp:positionV>
                <wp:extent cx="3698875" cy="100965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87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A4B33" w14:textId="43A48DC4" w:rsidR="00B33E46" w:rsidRDefault="00360C38" w:rsidP="00B33E46">
                            <w:pPr>
                              <w:tabs>
                                <w:tab w:val="left" w:pos="4320"/>
                              </w:tabs>
                              <w:rPr>
                                <w:rFonts w:ascii="Arial Bold" w:hAnsi="Arial Bold" w:cs="Arial"/>
                                <w:b/>
                                <w:sz w:val="32"/>
                                <w:szCs w:val="32"/>
                              </w:rPr>
                            </w:pPr>
                            <w:r>
                              <w:rPr>
                                <w:rFonts w:ascii="Arial Bold" w:hAnsi="Arial Bold" w:cs="Arial"/>
                                <w:b/>
                                <w:sz w:val="32"/>
                                <w:szCs w:val="32"/>
                              </w:rPr>
                              <w:t>SPEAKER NOTES – TPS REP POWERPOINT</w:t>
                            </w:r>
                            <w:r w:rsidR="00B33E46" w:rsidRPr="00A73B9E">
                              <w:rPr>
                                <w:rFonts w:ascii="Arial Bold" w:hAnsi="Arial Bold" w:cs="Arial"/>
                                <w:b/>
                                <w:sz w:val="32"/>
                                <w:szCs w:val="32"/>
                              </w:rPr>
                              <w:t xml:space="preserve">: </w:t>
                            </w:r>
                            <w:r w:rsidR="00C3104E">
                              <w:rPr>
                                <w:rFonts w:ascii="Arial Bold" w:hAnsi="Arial Bold" w:cs="Arial"/>
                                <w:b/>
                                <w:sz w:val="32"/>
                                <w:szCs w:val="32"/>
                              </w:rPr>
                              <w:t>APRIL 2024</w:t>
                            </w:r>
                          </w:p>
                          <w:p w14:paraId="79FD3695" w14:textId="7E9A40F3" w:rsidR="00B33E46" w:rsidRPr="00360C38" w:rsidRDefault="00B33E46">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8F177" id="_x0000_t202" coordsize="21600,21600" o:spt="202" path="m,l,21600r21600,l21600,xe">
                <v:stroke joinstyle="miter"/>
                <v:path gradientshapeok="t" o:connecttype="rect"/>
              </v:shapetype>
              <v:shape id="Text Box 2" o:spid="_x0000_s1026" type="#_x0000_t202" style="position:absolute;left:0;text-align:left;margin-left:186.85pt;margin-top:9.5pt;width:291.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d+9QEAAMsDAAAOAAAAZHJzL2Uyb0RvYy54bWysU8tu2zAQvBfoPxC815Jd27EFy0HqwEWB&#10;9AGk/QCKoh4oxWWXtCX367ukHMdIbkF1ILhccnZndrS5HTrNjgpdCybn00nKmTISytbUOf/1c/9h&#10;xZnzwpRCg1E5PynHb7fv3216m6kZNKBLhYxAjMt6m/PGe5sliZON6oSbgFWGkhVgJzyFWCclip7Q&#10;O53M0nSZ9IClRZDKOTq9H5N8G/GrSkn/vaqc8kznnHrzccW4FmFNthuR1Shs08pzG+INXXSiNVT0&#10;AnUvvGAHbF9Bda1EcFD5iYQugapqpYociM00fcHmsRFWRS4kjrMXmdz/g5Xfjo/2BzI/fIKBBhhJ&#10;OPsA8rdjBnaNMLW6Q4S+UaKkwtMgWdJbl52fBqld5gJI0X+FkoYsDh4i0FBhF1QhnozQaQCni+hq&#10;8EzS4cflerW6WXAmKTdN0/VyEceSiOzpuUXnPyvoWNjkHGmqEV4cH5wP7Yjs6Uqo5kC35b7VOgZY&#10;FzuN7CjIAfv4RQYvrmkTLhsIz0bEcBJ5BmojST8UAyUD3wLKEzFGGB1FfwBtGsC/nPXkppy7PweB&#10;ijP9xZBq6+l8HuwXg/niZkYBXmeK64wwkqBy7jkbtzs/WvZgsa0bqjTOycAdKV21UYPnrs59k2Oi&#10;NGd3B0tex/HW8z+4/QcAAP//AwBQSwMEFAAGAAgAAAAhAI57MPPeAAAACgEAAA8AAABkcnMvZG93&#10;bnJldi54bWxMj8FOwzAQRO9I/IO1SFwQdWhp3IQ4FSCBuLb0A5x4m0TE6yh2m/TvWU70uDNPszPF&#10;dna9OOMYOk8anhYJCKTa244aDYfvj8cNiBANWdN7Qg0XDLAtb28Kk1s/0Q7P+9gIDqGQGw1tjEMu&#10;ZahbdCYs/IDE3tGPzkQ+x0ba0Uwc7nq5TJJUOtMRf2jNgO8t1j/7k9Nw/Joe1tlUfcaD2j2nb6ZT&#10;lb9ofX83v76AiDjHfxj+6nN1KLlT5U9kg+g1rNRKMcpGxpsYyNbpEkTFgtokIMtCXk8ofwEAAP//&#10;AwBQSwECLQAUAAYACAAAACEAtoM4kv4AAADhAQAAEwAAAAAAAAAAAAAAAAAAAAAAW0NvbnRlbnRf&#10;VHlwZXNdLnhtbFBLAQItABQABgAIAAAAIQA4/SH/1gAAAJQBAAALAAAAAAAAAAAAAAAAAC8BAABf&#10;cmVscy8ucmVsc1BLAQItABQABgAIAAAAIQDQmod+9QEAAMsDAAAOAAAAAAAAAAAAAAAAAC4CAABk&#10;cnMvZTJvRG9jLnhtbFBLAQItABQABgAIAAAAIQCOezDz3gAAAAoBAAAPAAAAAAAAAAAAAAAAAE8E&#10;AABkcnMvZG93bnJldi54bWxQSwUGAAAAAAQABADzAAAAWgUAAAAA&#10;" stroked="f">
                <v:textbox>
                  <w:txbxContent>
                    <w:p w14:paraId="1E1A4B33" w14:textId="43A48DC4" w:rsidR="00B33E46" w:rsidRDefault="00360C38" w:rsidP="00B33E46">
                      <w:pPr>
                        <w:tabs>
                          <w:tab w:val="left" w:pos="4320"/>
                        </w:tabs>
                        <w:rPr>
                          <w:rFonts w:ascii="Arial Bold" w:hAnsi="Arial Bold" w:cs="Arial"/>
                          <w:b/>
                          <w:sz w:val="32"/>
                          <w:szCs w:val="32"/>
                        </w:rPr>
                      </w:pPr>
                      <w:r>
                        <w:rPr>
                          <w:rFonts w:ascii="Arial Bold" w:hAnsi="Arial Bold" w:cs="Arial"/>
                          <w:b/>
                          <w:sz w:val="32"/>
                          <w:szCs w:val="32"/>
                        </w:rPr>
                        <w:t>SPEAKER NOTES – TPS REP POWERPOINT</w:t>
                      </w:r>
                      <w:r w:rsidR="00B33E46" w:rsidRPr="00A73B9E">
                        <w:rPr>
                          <w:rFonts w:ascii="Arial Bold" w:hAnsi="Arial Bold" w:cs="Arial"/>
                          <w:b/>
                          <w:sz w:val="32"/>
                          <w:szCs w:val="32"/>
                        </w:rPr>
                        <w:t xml:space="preserve">: </w:t>
                      </w:r>
                      <w:r w:rsidR="00C3104E">
                        <w:rPr>
                          <w:rFonts w:ascii="Arial Bold" w:hAnsi="Arial Bold" w:cs="Arial"/>
                          <w:b/>
                          <w:sz w:val="32"/>
                          <w:szCs w:val="32"/>
                        </w:rPr>
                        <w:t>APRIL 2024</w:t>
                      </w:r>
                    </w:p>
                    <w:p w14:paraId="79FD3695" w14:textId="7E9A40F3" w:rsidR="00B33E46" w:rsidRPr="00360C38" w:rsidRDefault="00B33E46">
                      <w:pPr>
                        <w:rPr>
                          <w:b/>
                          <w:bCs/>
                        </w:rPr>
                      </w:pPr>
                    </w:p>
                  </w:txbxContent>
                </v:textbox>
              </v:shape>
            </w:pict>
          </mc:Fallback>
        </mc:AlternateContent>
      </w:r>
      <w:r w:rsidRPr="00826D69">
        <w:rPr>
          <w:noProof/>
        </w:rPr>
        <w:drawing>
          <wp:anchor distT="0" distB="0" distL="114300" distR="114300" simplePos="0" relativeHeight="251657216" behindDoc="0" locked="0" layoutInCell="1" allowOverlap="1" wp14:anchorId="50B448CE" wp14:editId="6692F8A6">
            <wp:simplePos x="0" y="0"/>
            <wp:positionH relativeFrom="column">
              <wp:posOffset>3810</wp:posOffset>
            </wp:positionH>
            <wp:positionV relativeFrom="paragraph">
              <wp:posOffset>-331470</wp:posOffset>
            </wp:positionV>
            <wp:extent cx="1672590" cy="1474470"/>
            <wp:effectExtent l="0" t="0" r="0" b="0"/>
            <wp:wrapNone/>
            <wp:docPr id="3" name="Picture 1" descr="NEU_Logo_AW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_Logo_AW_RGB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2590"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F8A19" w14:textId="77777777" w:rsidR="00C85F27" w:rsidRPr="00826D69" w:rsidRDefault="00C85F27" w:rsidP="00B33E46">
      <w:pPr>
        <w:jc w:val="both"/>
        <w:rPr>
          <w:rFonts w:ascii="Arial Bold" w:hAnsi="Arial Bold" w:cs="Arial"/>
          <w:b/>
          <w:sz w:val="32"/>
          <w:szCs w:val="32"/>
        </w:rPr>
      </w:pPr>
    </w:p>
    <w:p w14:paraId="5231B9E9" w14:textId="77777777" w:rsidR="00B33E46" w:rsidRPr="00826D69" w:rsidRDefault="00B33E46" w:rsidP="00B33E46">
      <w:pPr>
        <w:jc w:val="both"/>
        <w:rPr>
          <w:rFonts w:ascii="Arial Bold" w:hAnsi="Arial Bold" w:cs="Arial"/>
          <w:b/>
          <w:sz w:val="32"/>
          <w:szCs w:val="32"/>
        </w:rPr>
      </w:pPr>
    </w:p>
    <w:p w14:paraId="58B5F31D" w14:textId="77777777" w:rsidR="00B33E46" w:rsidRPr="00826D69" w:rsidRDefault="00B33E46" w:rsidP="00B33E46">
      <w:pPr>
        <w:jc w:val="both"/>
        <w:rPr>
          <w:rFonts w:ascii="Arial Bold" w:hAnsi="Arial Bold" w:cs="Arial"/>
          <w:b/>
          <w:sz w:val="32"/>
          <w:szCs w:val="32"/>
        </w:rPr>
      </w:pPr>
    </w:p>
    <w:p w14:paraId="573C86B6" w14:textId="77777777" w:rsidR="00C85F27" w:rsidRPr="00826D69" w:rsidRDefault="00C85F27" w:rsidP="00C85F27">
      <w:pPr>
        <w:ind w:left="4320" w:hanging="4320"/>
        <w:rPr>
          <w:rFonts w:ascii="Arial Bold" w:hAnsi="Arial Bold" w:cs="Arial"/>
          <w:b/>
          <w:szCs w:val="24"/>
        </w:rPr>
      </w:pPr>
    </w:p>
    <w:p w14:paraId="4808D287" w14:textId="77777777" w:rsidR="00C85F27" w:rsidRPr="00826D69" w:rsidRDefault="00C85F27" w:rsidP="00C85F27">
      <w:pPr>
        <w:rPr>
          <w:b/>
          <w:u w:val="single"/>
        </w:rPr>
      </w:pPr>
      <w:r w:rsidRPr="00826D69">
        <w:rPr>
          <w:rFonts w:eastAsia="Times New Roman" w:cs="Arial"/>
          <w:b/>
          <w:sz w:val="22"/>
          <w:lang w:eastAsia="en-GB"/>
        </w:rPr>
        <w:t>______________________________________________________________________________</w:t>
      </w:r>
    </w:p>
    <w:p w14:paraId="158159CA" w14:textId="77777777" w:rsidR="00B21FD5" w:rsidRPr="00826D69" w:rsidRDefault="00B21FD5" w:rsidP="00B21FD5">
      <w:pPr>
        <w:jc w:val="both"/>
        <w:rPr>
          <w:b/>
        </w:rPr>
      </w:pPr>
    </w:p>
    <w:p w14:paraId="1E5E5E92" w14:textId="77777777" w:rsidR="00360C38" w:rsidRPr="00826D69" w:rsidRDefault="00360C38" w:rsidP="00360C38">
      <w:pPr>
        <w:rPr>
          <w:b/>
          <w:sz w:val="22"/>
        </w:rPr>
      </w:pPr>
      <w:r w:rsidRPr="00826D69">
        <w:rPr>
          <w:b/>
          <w:sz w:val="22"/>
        </w:rPr>
        <w:t>Introduction</w:t>
      </w:r>
    </w:p>
    <w:p w14:paraId="255EC5C2" w14:textId="0B828683" w:rsidR="00360C38" w:rsidRPr="00826D69" w:rsidRDefault="00360C38" w:rsidP="00360C38">
      <w:pPr>
        <w:jc w:val="both"/>
        <w:rPr>
          <w:sz w:val="22"/>
        </w:rPr>
      </w:pPr>
      <w:r w:rsidRPr="00826D69">
        <w:rPr>
          <w:sz w:val="22"/>
        </w:rPr>
        <w:t>These speaker notes are designed to accompany the Teachers’ Pension Scheme 20</w:t>
      </w:r>
      <w:r w:rsidR="00FC3C6E" w:rsidRPr="00826D69">
        <w:rPr>
          <w:sz w:val="22"/>
        </w:rPr>
        <w:t>2</w:t>
      </w:r>
      <w:r w:rsidR="00C3104E">
        <w:rPr>
          <w:sz w:val="22"/>
        </w:rPr>
        <w:t>4</w:t>
      </w:r>
      <w:r w:rsidRPr="00826D69">
        <w:rPr>
          <w:sz w:val="22"/>
        </w:rPr>
        <w:t xml:space="preserve"> Reps’ </w:t>
      </w:r>
      <w:proofErr w:type="spellStart"/>
      <w:r w:rsidRPr="00826D69">
        <w:rPr>
          <w:sz w:val="22"/>
        </w:rPr>
        <w:t>Powerpoint</w:t>
      </w:r>
      <w:proofErr w:type="spellEnd"/>
      <w:r w:rsidRPr="00826D69">
        <w:rPr>
          <w:sz w:val="22"/>
        </w:rPr>
        <w:t xml:space="preserve"> and provide extra speaking notes to enable the presenter to answer questions which members may have. Further pensions material is available on the website at  </w:t>
      </w:r>
      <w:hyperlink r:id="rId13" w:history="1">
        <w:r w:rsidR="004352E3" w:rsidRPr="006E17C7">
          <w:rPr>
            <w:rStyle w:val="Hyperlink"/>
            <w:sz w:val="22"/>
          </w:rPr>
          <w:t>https://neu.org.uk/advice/your-rights-work/pensions</w:t>
        </w:r>
      </w:hyperlink>
      <w:r w:rsidR="004352E3">
        <w:rPr>
          <w:sz w:val="22"/>
        </w:rPr>
        <w:t xml:space="preserve"> </w:t>
      </w:r>
    </w:p>
    <w:p w14:paraId="3FD5583A" w14:textId="77777777" w:rsidR="00360C38" w:rsidRPr="00826D69" w:rsidRDefault="00360C38" w:rsidP="00360C38">
      <w:pPr>
        <w:rPr>
          <w:sz w:val="22"/>
        </w:rPr>
      </w:pPr>
    </w:p>
    <w:p w14:paraId="76A67E1C" w14:textId="77777777" w:rsidR="00360C38" w:rsidRPr="00826D69" w:rsidRDefault="00360C38" w:rsidP="00360C38">
      <w:pPr>
        <w:rPr>
          <w:b/>
          <w:sz w:val="22"/>
        </w:rPr>
      </w:pPr>
      <w:r w:rsidRPr="00826D69">
        <w:rPr>
          <w:b/>
          <w:sz w:val="22"/>
        </w:rPr>
        <w:t>Overview</w:t>
      </w:r>
    </w:p>
    <w:p w14:paraId="6C40FE97" w14:textId="6B3315A8" w:rsidR="00360C38" w:rsidRPr="00826D69" w:rsidRDefault="00CE2F73" w:rsidP="00360C38">
      <w:pPr>
        <w:jc w:val="both"/>
        <w:rPr>
          <w:sz w:val="22"/>
        </w:rPr>
      </w:pPr>
      <w:r w:rsidRPr="00826D69">
        <w:rPr>
          <w:sz w:val="22"/>
        </w:rPr>
        <w:t xml:space="preserve">We need to start with a </w:t>
      </w:r>
      <w:r w:rsidR="0080499A" w:rsidRPr="00826D69">
        <w:rPr>
          <w:sz w:val="22"/>
        </w:rPr>
        <w:t>short</w:t>
      </w:r>
      <w:r w:rsidRPr="00826D69">
        <w:rPr>
          <w:sz w:val="22"/>
        </w:rPr>
        <w:t xml:space="preserve"> history lesson.</w:t>
      </w:r>
      <w:r w:rsidR="0096615E">
        <w:rPr>
          <w:sz w:val="22"/>
        </w:rPr>
        <w:t xml:space="preserve"> </w:t>
      </w:r>
      <w:r w:rsidRPr="00826D69">
        <w:rPr>
          <w:sz w:val="22"/>
        </w:rPr>
        <w:t xml:space="preserve">In 2015 the Government introduced </w:t>
      </w:r>
      <w:r w:rsidR="00360C38" w:rsidRPr="00826D69">
        <w:rPr>
          <w:sz w:val="22"/>
        </w:rPr>
        <w:t>major reforms to the Teachers’ Pension Scheme (TPS) in April 2015. Most teachers were transferred from a ‘final salary’ to a ‘career average’ pension. New entrants join</w:t>
      </w:r>
      <w:r w:rsidRPr="00826D69">
        <w:rPr>
          <w:sz w:val="22"/>
        </w:rPr>
        <w:t>ed</w:t>
      </w:r>
      <w:r w:rsidR="00360C38" w:rsidRPr="00826D69">
        <w:rPr>
          <w:sz w:val="22"/>
        </w:rPr>
        <w:t xml:space="preserve"> the career average scheme. </w:t>
      </w:r>
      <w:r w:rsidRPr="00826D69">
        <w:rPr>
          <w:sz w:val="22"/>
        </w:rPr>
        <w:t>Some older members were protected and stayed in their existing final salary sch</w:t>
      </w:r>
      <w:r w:rsidR="00923EA6" w:rsidRPr="00826D69">
        <w:rPr>
          <w:sz w:val="22"/>
        </w:rPr>
        <w:t>emes</w:t>
      </w:r>
    </w:p>
    <w:p w14:paraId="1473E1F7" w14:textId="77777777" w:rsidR="00360C38" w:rsidRPr="00826D69" w:rsidRDefault="00360C38" w:rsidP="00360C38">
      <w:pPr>
        <w:rPr>
          <w:sz w:val="22"/>
        </w:rPr>
      </w:pPr>
    </w:p>
    <w:p w14:paraId="5AEAC9F5" w14:textId="6FE541B5" w:rsidR="00360C38" w:rsidRPr="00826D69" w:rsidRDefault="00923EA6" w:rsidP="00360C38">
      <w:pPr>
        <w:jc w:val="both"/>
        <w:rPr>
          <w:sz w:val="22"/>
        </w:rPr>
      </w:pPr>
      <w:r w:rsidRPr="00826D69">
        <w:rPr>
          <w:sz w:val="22"/>
        </w:rPr>
        <w:t xml:space="preserve">An age discrimination case was launched by </w:t>
      </w:r>
      <w:r w:rsidR="000D69B5" w:rsidRPr="00826D69">
        <w:rPr>
          <w:sz w:val="22"/>
        </w:rPr>
        <w:t>members of the judges and firefighters’ schemes claiming age discrimination against younger people. After a legal battle they won (known as the McCloud judgement)</w:t>
      </w:r>
      <w:r w:rsidR="0080499A" w:rsidRPr="00826D69">
        <w:rPr>
          <w:sz w:val="22"/>
        </w:rPr>
        <w:t>.</w:t>
      </w:r>
    </w:p>
    <w:p w14:paraId="091C6C2A" w14:textId="77777777" w:rsidR="0080499A" w:rsidRPr="00826D69" w:rsidRDefault="0080499A" w:rsidP="00360C38">
      <w:pPr>
        <w:jc w:val="both"/>
        <w:rPr>
          <w:sz w:val="22"/>
        </w:rPr>
      </w:pPr>
    </w:p>
    <w:p w14:paraId="7AB325C0" w14:textId="16A892B1" w:rsidR="0080499A" w:rsidRPr="00826D69" w:rsidRDefault="0080499A" w:rsidP="00360C38">
      <w:pPr>
        <w:jc w:val="both"/>
        <w:rPr>
          <w:sz w:val="22"/>
        </w:rPr>
      </w:pPr>
      <w:r w:rsidRPr="00826D69">
        <w:rPr>
          <w:sz w:val="22"/>
        </w:rPr>
        <w:t xml:space="preserve">The upshot is that </w:t>
      </w:r>
      <w:r w:rsidRPr="00826D69">
        <w:rPr>
          <w:sz w:val="22"/>
          <w:u w:val="single"/>
        </w:rPr>
        <w:t>all</w:t>
      </w:r>
      <w:r w:rsidRPr="00826D69">
        <w:rPr>
          <w:sz w:val="22"/>
        </w:rPr>
        <w:t xml:space="preserve"> teachers (including older teachers</w:t>
      </w:r>
      <w:r w:rsidR="00883E0F" w:rsidRPr="00826D69">
        <w:rPr>
          <w:sz w:val="22"/>
        </w:rPr>
        <w:t>)</w:t>
      </w:r>
      <w:r w:rsidRPr="00826D69">
        <w:rPr>
          <w:sz w:val="22"/>
        </w:rPr>
        <w:t xml:space="preserve"> </w:t>
      </w:r>
      <w:r w:rsidR="00130C52">
        <w:rPr>
          <w:sz w:val="22"/>
        </w:rPr>
        <w:t>were</w:t>
      </w:r>
      <w:r w:rsidR="00883E0F" w:rsidRPr="00826D69">
        <w:rPr>
          <w:sz w:val="22"/>
        </w:rPr>
        <w:t xml:space="preserve"> moved into the career average scheme from 1 April 2022</w:t>
      </w:r>
      <w:r w:rsidR="00451297" w:rsidRPr="00826D69">
        <w:rPr>
          <w:sz w:val="22"/>
        </w:rPr>
        <w:t>.</w:t>
      </w:r>
    </w:p>
    <w:p w14:paraId="72037527" w14:textId="77777777" w:rsidR="00360C38" w:rsidRPr="00826D69" w:rsidRDefault="00360C38" w:rsidP="00360C38">
      <w:pPr>
        <w:rPr>
          <w:sz w:val="22"/>
        </w:rPr>
      </w:pPr>
    </w:p>
    <w:p w14:paraId="1EC89A8C" w14:textId="79758DC2" w:rsidR="00F0190A" w:rsidRPr="00826D69" w:rsidRDefault="00F0190A" w:rsidP="00F0190A">
      <w:pPr>
        <w:jc w:val="both"/>
        <w:rPr>
          <w:sz w:val="22"/>
        </w:rPr>
      </w:pPr>
      <w:r w:rsidRPr="00F0190A">
        <w:rPr>
          <w:sz w:val="22"/>
        </w:rPr>
        <w:t xml:space="preserve">Eligible scheme members will choose between final salary or career average scheme benefits for the period 2015 to 2022 when they take benefits from the scheme – effectively getting the </w:t>
      </w:r>
      <w:r w:rsidRPr="00F0190A">
        <w:rPr>
          <w:sz w:val="22"/>
          <w:u w:val="single"/>
        </w:rPr>
        <w:t>better</w:t>
      </w:r>
      <w:r w:rsidRPr="00F0190A">
        <w:rPr>
          <w:sz w:val="22"/>
        </w:rPr>
        <w:t xml:space="preserve"> of the two schemes. The choice for most people</w:t>
      </w:r>
      <w:r w:rsidR="00AB5EFB" w:rsidRPr="00826D69">
        <w:rPr>
          <w:sz w:val="22"/>
        </w:rPr>
        <w:t xml:space="preserve"> will</w:t>
      </w:r>
      <w:r w:rsidRPr="00F0190A">
        <w:rPr>
          <w:sz w:val="22"/>
        </w:rPr>
        <w:t xml:space="preserve"> be made at the point of retirement. </w:t>
      </w:r>
    </w:p>
    <w:p w14:paraId="0E8D9457" w14:textId="7CA8CA3B" w:rsidR="00750BD8" w:rsidRPr="00826D69" w:rsidRDefault="00750BD8" w:rsidP="00360C38">
      <w:pPr>
        <w:jc w:val="both"/>
        <w:rPr>
          <w:sz w:val="22"/>
        </w:rPr>
      </w:pPr>
    </w:p>
    <w:p w14:paraId="68808859" w14:textId="07E41293" w:rsidR="00360C38" w:rsidRPr="00826D69" w:rsidRDefault="00F0190A" w:rsidP="00360C38">
      <w:pPr>
        <w:jc w:val="both"/>
        <w:rPr>
          <w:sz w:val="22"/>
        </w:rPr>
      </w:pPr>
      <w:r w:rsidRPr="00826D69">
        <w:rPr>
          <w:sz w:val="22"/>
        </w:rPr>
        <w:t>Rights in the final salary scheme will be fully protected and will be dealt with under th</w:t>
      </w:r>
      <w:r w:rsidR="008F39EE" w:rsidRPr="00826D69">
        <w:rPr>
          <w:sz w:val="22"/>
        </w:rPr>
        <w:t>e rules of the final salary scheme.</w:t>
      </w:r>
    </w:p>
    <w:p w14:paraId="1EEF86FC" w14:textId="77777777" w:rsidR="008F39EE" w:rsidRPr="00826D69" w:rsidRDefault="008F39EE" w:rsidP="00360C38">
      <w:pPr>
        <w:jc w:val="both"/>
        <w:rPr>
          <w:sz w:val="22"/>
        </w:rPr>
      </w:pPr>
    </w:p>
    <w:p w14:paraId="13AF2CFE" w14:textId="44839EC9" w:rsidR="008F39EE" w:rsidRPr="00826D69" w:rsidRDefault="00A2356C" w:rsidP="00360C38">
      <w:pPr>
        <w:jc w:val="both"/>
        <w:rPr>
          <w:sz w:val="22"/>
        </w:rPr>
      </w:pPr>
      <w:r w:rsidRPr="00826D69">
        <w:rPr>
          <w:sz w:val="22"/>
        </w:rPr>
        <w:t xml:space="preserve">Teachers who joined on or after 1 April 2012 </w:t>
      </w:r>
      <w:r w:rsidR="009E6C02" w:rsidRPr="00826D69">
        <w:rPr>
          <w:sz w:val="22"/>
        </w:rPr>
        <w:t xml:space="preserve">(or who weren’t in service on 1 April 2015) </w:t>
      </w:r>
      <w:r w:rsidRPr="00826D69">
        <w:rPr>
          <w:sz w:val="22"/>
        </w:rPr>
        <w:t>aren’t covered</w:t>
      </w:r>
      <w:r w:rsidR="009E6C02" w:rsidRPr="00826D69">
        <w:rPr>
          <w:sz w:val="22"/>
        </w:rPr>
        <w:t xml:space="preserve"> and will have career average accrual from 1 A</w:t>
      </w:r>
      <w:r w:rsidR="00250E59">
        <w:rPr>
          <w:sz w:val="22"/>
        </w:rPr>
        <w:t>pril 2015</w:t>
      </w:r>
      <w:r w:rsidR="009E6C02" w:rsidRPr="00826D69">
        <w:rPr>
          <w:sz w:val="22"/>
        </w:rPr>
        <w:t>.</w:t>
      </w:r>
    </w:p>
    <w:p w14:paraId="434D940E" w14:textId="77777777" w:rsidR="00C746A7" w:rsidRPr="00826D69" w:rsidRDefault="00C746A7" w:rsidP="00360C38">
      <w:pPr>
        <w:rPr>
          <w:b/>
          <w:sz w:val="22"/>
        </w:rPr>
      </w:pPr>
    </w:p>
    <w:p w14:paraId="58C5F024" w14:textId="4824AD4D" w:rsidR="00AB5EFB" w:rsidRPr="00826D69" w:rsidRDefault="00EB236D" w:rsidP="00360C38">
      <w:pPr>
        <w:rPr>
          <w:b/>
          <w:sz w:val="22"/>
        </w:rPr>
      </w:pPr>
      <w:r w:rsidRPr="00826D69">
        <w:rPr>
          <w:b/>
          <w:sz w:val="22"/>
        </w:rPr>
        <w:t xml:space="preserve">Career Average </w:t>
      </w:r>
      <w:r w:rsidR="00501790" w:rsidRPr="00826D69">
        <w:rPr>
          <w:b/>
          <w:sz w:val="22"/>
        </w:rPr>
        <w:t>(CA) scheme</w:t>
      </w:r>
    </w:p>
    <w:p w14:paraId="02111C8D" w14:textId="766A01F4" w:rsidR="00501790" w:rsidRPr="00826D69" w:rsidRDefault="00501790" w:rsidP="00501790">
      <w:pPr>
        <w:jc w:val="both"/>
        <w:rPr>
          <w:bCs/>
          <w:sz w:val="22"/>
        </w:rPr>
      </w:pPr>
      <w:r w:rsidRPr="00826D69">
        <w:rPr>
          <w:bCs/>
          <w:sz w:val="22"/>
        </w:rPr>
        <w:t>Right, so all teachers are now building up pension in a ‘career average’ scheme. This switches pensions from being based on final salary to being based on average salary throughout a whole career. This was designed by the Government to cut pensions relative to the final salary scheme.</w:t>
      </w:r>
    </w:p>
    <w:p w14:paraId="137AEDE2" w14:textId="77777777" w:rsidR="0012163C" w:rsidRPr="00826D69" w:rsidRDefault="0012163C" w:rsidP="00501790">
      <w:pPr>
        <w:jc w:val="both"/>
        <w:rPr>
          <w:bCs/>
          <w:sz w:val="22"/>
        </w:rPr>
      </w:pPr>
    </w:p>
    <w:p w14:paraId="20E365D4" w14:textId="1F4C3703" w:rsidR="0012163C" w:rsidRPr="0012163C" w:rsidRDefault="0012163C" w:rsidP="0012163C">
      <w:pPr>
        <w:jc w:val="both"/>
        <w:rPr>
          <w:bCs/>
          <w:sz w:val="22"/>
        </w:rPr>
      </w:pPr>
      <w:r w:rsidRPr="0012163C">
        <w:rPr>
          <w:bCs/>
          <w:sz w:val="22"/>
        </w:rPr>
        <w:t>Teachers in the career average scheme will build up pension at 1/57 of their pensionable earnings each year. So, if your pensionable earnings are £</w:t>
      </w:r>
      <w:r w:rsidR="00FD5218">
        <w:rPr>
          <w:bCs/>
          <w:sz w:val="22"/>
        </w:rPr>
        <w:t>57,0</w:t>
      </w:r>
      <w:r w:rsidRPr="0012163C">
        <w:rPr>
          <w:bCs/>
          <w:sz w:val="22"/>
        </w:rPr>
        <w:t>00, you’ll build up £</w:t>
      </w:r>
      <w:r w:rsidR="00FD5218">
        <w:rPr>
          <w:bCs/>
          <w:sz w:val="22"/>
        </w:rPr>
        <w:t>1,0</w:t>
      </w:r>
      <w:r w:rsidRPr="0012163C">
        <w:rPr>
          <w:bCs/>
          <w:sz w:val="22"/>
        </w:rPr>
        <w:t xml:space="preserve">00 of pension for that year.  </w:t>
      </w:r>
    </w:p>
    <w:p w14:paraId="4EC6352E" w14:textId="77777777" w:rsidR="0012163C" w:rsidRPr="0012163C" w:rsidRDefault="0012163C" w:rsidP="0012163C">
      <w:pPr>
        <w:jc w:val="both"/>
        <w:rPr>
          <w:bCs/>
          <w:sz w:val="22"/>
        </w:rPr>
      </w:pPr>
    </w:p>
    <w:p w14:paraId="24F30446" w14:textId="504A65F3" w:rsidR="0012163C" w:rsidRPr="0012163C" w:rsidRDefault="0012163C" w:rsidP="0012163C">
      <w:pPr>
        <w:jc w:val="both"/>
        <w:rPr>
          <w:bCs/>
          <w:sz w:val="22"/>
        </w:rPr>
      </w:pPr>
      <w:r w:rsidRPr="0012163C">
        <w:rPr>
          <w:bCs/>
          <w:sz w:val="22"/>
        </w:rPr>
        <w:t xml:space="preserve">This pension is then increased each year until retirement. The annual increase for teachers who stay in teaching is Consumer Prices Index (CPI) inflation + 1.6 per cent. </w:t>
      </w:r>
    </w:p>
    <w:p w14:paraId="19F7ADC0" w14:textId="77777777" w:rsidR="0012163C" w:rsidRPr="0012163C" w:rsidRDefault="0012163C" w:rsidP="0012163C">
      <w:pPr>
        <w:jc w:val="both"/>
        <w:rPr>
          <w:bCs/>
          <w:sz w:val="22"/>
        </w:rPr>
      </w:pPr>
    </w:p>
    <w:p w14:paraId="1CFB1DBB" w14:textId="77777777" w:rsidR="0012163C" w:rsidRPr="00826D69" w:rsidRDefault="0012163C" w:rsidP="0012163C">
      <w:pPr>
        <w:jc w:val="both"/>
        <w:rPr>
          <w:bCs/>
          <w:sz w:val="22"/>
        </w:rPr>
      </w:pPr>
      <w:r w:rsidRPr="0012163C">
        <w:rPr>
          <w:bCs/>
          <w:sz w:val="22"/>
        </w:rPr>
        <w:t xml:space="preserve">Each year is essentially treated as a separate unit, and at retirement, it’s all added together to form the total pension. </w:t>
      </w:r>
    </w:p>
    <w:p w14:paraId="4D6F0220" w14:textId="77777777" w:rsidR="0012163C" w:rsidRPr="00826D69" w:rsidRDefault="0012163C" w:rsidP="0012163C">
      <w:pPr>
        <w:jc w:val="both"/>
        <w:rPr>
          <w:bCs/>
          <w:sz w:val="22"/>
        </w:rPr>
      </w:pPr>
    </w:p>
    <w:p w14:paraId="4DD15AB1" w14:textId="086F6BD3" w:rsidR="0012163C" w:rsidRPr="0012163C" w:rsidRDefault="0012163C" w:rsidP="0012163C">
      <w:pPr>
        <w:jc w:val="both"/>
        <w:rPr>
          <w:bCs/>
          <w:sz w:val="22"/>
        </w:rPr>
      </w:pPr>
      <w:r w:rsidRPr="0012163C">
        <w:rPr>
          <w:bCs/>
          <w:sz w:val="22"/>
        </w:rPr>
        <w:t xml:space="preserve">Once the pension is in payment, it just increases annually with CPI. </w:t>
      </w:r>
    </w:p>
    <w:p w14:paraId="73911E20" w14:textId="77777777" w:rsidR="0012163C" w:rsidRPr="0012163C" w:rsidRDefault="0012163C" w:rsidP="0012163C">
      <w:pPr>
        <w:jc w:val="both"/>
        <w:rPr>
          <w:bCs/>
          <w:sz w:val="22"/>
        </w:rPr>
      </w:pPr>
    </w:p>
    <w:p w14:paraId="213DAC0F" w14:textId="681C7198" w:rsidR="0012163C" w:rsidRPr="0012163C" w:rsidRDefault="0012163C" w:rsidP="0012163C">
      <w:pPr>
        <w:jc w:val="both"/>
        <w:rPr>
          <w:bCs/>
          <w:sz w:val="22"/>
        </w:rPr>
      </w:pPr>
      <w:r w:rsidRPr="0012163C">
        <w:rPr>
          <w:bCs/>
          <w:sz w:val="22"/>
        </w:rPr>
        <w:lastRenderedPageBreak/>
        <w:t xml:space="preserve">If a teacher leaves service before retirement and doesn’t return within five years, the ‘banked’ pension is just increased with CPI. </w:t>
      </w:r>
      <w:r w:rsidR="00EA6C80" w:rsidRPr="00826D69">
        <w:rPr>
          <w:bCs/>
          <w:sz w:val="22"/>
        </w:rPr>
        <w:t xml:space="preserve">If the teacher does return </w:t>
      </w:r>
      <w:r w:rsidR="008C3172" w:rsidRPr="00826D69">
        <w:rPr>
          <w:bCs/>
          <w:sz w:val="22"/>
        </w:rPr>
        <w:t>then they’re treated as ‘in-service’ for the whole period.</w:t>
      </w:r>
    </w:p>
    <w:p w14:paraId="4344AA9F" w14:textId="77777777" w:rsidR="0012163C" w:rsidRPr="00826D69" w:rsidRDefault="0012163C" w:rsidP="00501790">
      <w:pPr>
        <w:jc w:val="both"/>
        <w:rPr>
          <w:bCs/>
          <w:sz w:val="22"/>
        </w:rPr>
      </w:pPr>
    </w:p>
    <w:p w14:paraId="65A77C4B" w14:textId="6FAA074D" w:rsidR="00501790" w:rsidRPr="00826D69" w:rsidRDefault="00F613DD" w:rsidP="00501790">
      <w:pPr>
        <w:jc w:val="both"/>
        <w:rPr>
          <w:b/>
          <w:sz w:val="22"/>
        </w:rPr>
      </w:pPr>
      <w:r w:rsidRPr="00826D69">
        <w:rPr>
          <w:b/>
          <w:sz w:val="22"/>
        </w:rPr>
        <w:t>CA Scheme example</w:t>
      </w:r>
    </w:p>
    <w:p w14:paraId="03E213FF" w14:textId="226F928E" w:rsidR="00F613DD" w:rsidRPr="00826D69" w:rsidRDefault="00D403FF" w:rsidP="00360C38">
      <w:pPr>
        <w:rPr>
          <w:bCs/>
          <w:sz w:val="22"/>
        </w:rPr>
      </w:pPr>
      <w:r w:rsidRPr="00826D69">
        <w:rPr>
          <w:bCs/>
          <w:sz w:val="22"/>
        </w:rPr>
        <w:t>Just an example here to show how it works. The key point is that each ‘scheme year’ from 1 April to 31 March is a separate unit, and what matters is what it earned in that scheme year.</w:t>
      </w:r>
    </w:p>
    <w:p w14:paraId="2F7798D1" w14:textId="77777777" w:rsidR="00F613DD" w:rsidRPr="00826D69" w:rsidRDefault="00F613DD" w:rsidP="00360C38">
      <w:pPr>
        <w:rPr>
          <w:bCs/>
          <w:sz w:val="22"/>
        </w:rPr>
      </w:pPr>
    </w:p>
    <w:p w14:paraId="7F3D98D0" w14:textId="72ADB23C" w:rsidR="00F613DD" w:rsidRPr="00826D69" w:rsidRDefault="00D403FF" w:rsidP="00360C38">
      <w:pPr>
        <w:rPr>
          <w:bCs/>
          <w:sz w:val="22"/>
        </w:rPr>
      </w:pPr>
      <w:r w:rsidRPr="00826D69">
        <w:rPr>
          <w:bCs/>
          <w:sz w:val="22"/>
        </w:rPr>
        <w:t xml:space="preserve">Assume </w:t>
      </w:r>
      <w:r w:rsidR="00BA44D0" w:rsidRPr="00826D69">
        <w:rPr>
          <w:bCs/>
          <w:sz w:val="22"/>
        </w:rPr>
        <w:t>Alice earns £15,000 between 1</w:t>
      </w:r>
      <w:r w:rsidR="00BA44D0" w:rsidRPr="00826D69">
        <w:rPr>
          <w:bCs/>
          <w:sz w:val="22"/>
          <w:vertAlign w:val="superscript"/>
        </w:rPr>
        <w:t>st</w:t>
      </w:r>
      <w:r w:rsidR="00BA44D0" w:rsidRPr="00826D69">
        <w:rPr>
          <w:bCs/>
          <w:sz w:val="22"/>
        </w:rPr>
        <w:t xml:space="preserve"> December 202</w:t>
      </w:r>
      <w:r w:rsidR="00FD5218">
        <w:rPr>
          <w:bCs/>
          <w:sz w:val="22"/>
        </w:rPr>
        <w:t>3</w:t>
      </w:r>
      <w:r w:rsidR="00BA44D0" w:rsidRPr="00826D69">
        <w:rPr>
          <w:bCs/>
          <w:sz w:val="22"/>
        </w:rPr>
        <w:t xml:space="preserve"> and 31</w:t>
      </w:r>
      <w:r w:rsidR="00BA44D0" w:rsidRPr="00826D69">
        <w:rPr>
          <w:bCs/>
          <w:sz w:val="22"/>
          <w:vertAlign w:val="superscript"/>
        </w:rPr>
        <w:t>st</w:t>
      </w:r>
      <w:r w:rsidR="00BA44D0" w:rsidRPr="00826D69">
        <w:rPr>
          <w:bCs/>
          <w:sz w:val="22"/>
        </w:rPr>
        <w:t xml:space="preserve"> March 202</w:t>
      </w:r>
      <w:r w:rsidR="00FD5218">
        <w:rPr>
          <w:bCs/>
          <w:sz w:val="22"/>
        </w:rPr>
        <w:t>4</w:t>
      </w:r>
      <w:r w:rsidR="00DF0ED8" w:rsidRPr="00826D69">
        <w:rPr>
          <w:bCs/>
          <w:sz w:val="22"/>
        </w:rPr>
        <w:t xml:space="preserve"> and then £35,000 from 1</w:t>
      </w:r>
      <w:r w:rsidR="00DF0ED8" w:rsidRPr="00826D69">
        <w:rPr>
          <w:bCs/>
          <w:sz w:val="22"/>
          <w:vertAlign w:val="superscript"/>
        </w:rPr>
        <w:t>st</w:t>
      </w:r>
      <w:r w:rsidR="00DF0ED8" w:rsidRPr="00826D69">
        <w:rPr>
          <w:bCs/>
          <w:sz w:val="22"/>
        </w:rPr>
        <w:t xml:space="preserve"> April 202</w:t>
      </w:r>
      <w:r w:rsidR="00FD5218">
        <w:rPr>
          <w:bCs/>
          <w:sz w:val="22"/>
        </w:rPr>
        <w:t>4</w:t>
      </w:r>
      <w:r w:rsidR="00DF0ED8" w:rsidRPr="00826D69">
        <w:rPr>
          <w:bCs/>
          <w:sz w:val="22"/>
        </w:rPr>
        <w:t xml:space="preserve"> to </w:t>
      </w:r>
      <w:r w:rsidR="007D4DD9" w:rsidRPr="00826D69">
        <w:rPr>
          <w:bCs/>
          <w:sz w:val="22"/>
        </w:rPr>
        <w:t>31</w:t>
      </w:r>
      <w:r w:rsidR="007D4DD9" w:rsidRPr="00826D69">
        <w:rPr>
          <w:bCs/>
          <w:sz w:val="22"/>
          <w:vertAlign w:val="superscript"/>
        </w:rPr>
        <w:t>st</w:t>
      </w:r>
      <w:r w:rsidR="007D4DD9" w:rsidRPr="00826D69">
        <w:rPr>
          <w:bCs/>
          <w:sz w:val="22"/>
        </w:rPr>
        <w:t xml:space="preserve"> March 202</w:t>
      </w:r>
      <w:r w:rsidR="00FD5218">
        <w:rPr>
          <w:bCs/>
          <w:sz w:val="22"/>
        </w:rPr>
        <w:t>5</w:t>
      </w:r>
      <w:r w:rsidR="007D4DD9" w:rsidRPr="00826D69">
        <w:rPr>
          <w:bCs/>
          <w:sz w:val="22"/>
        </w:rPr>
        <w:t>. CPI Inflation is 2 per cent</w:t>
      </w:r>
      <w:r w:rsidR="00392D93" w:rsidRPr="00826D69">
        <w:rPr>
          <w:bCs/>
          <w:sz w:val="22"/>
        </w:rPr>
        <w:t xml:space="preserve"> throughout.</w:t>
      </w:r>
    </w:p>
    <w:p w14:paraId="7FBE8814" w14:textId="77777777" w:rsidR="007D4DD9" w:rsidRPr="00826D69" w:rsidRDefault="007D4DD9" w:rsidP="00360C38">
      <w:pPr>
        <w:rPr>
          <w:bCs/>
          <w:sz w:val="22"/>
        </w:rPr>
      </w:pPr>
    </w:p>
    <w:p w14:paraId="3C763309" w14:textId="46670957" w:rsidR="007D4DD9" w:rsidRPr="00826D69" w:rsidRDefault="007D4DD9" w:rsidP="00360C38">
      <w:pPr>
        <w:rPr>
          <w:bCs/>
          <w:sz w:val="22"/>
        </w:rPr>
      </w:pPr>
      <w:r w:rsidRPr="00826D69">
        <w:rPr>
          <w:bCs/>
          <w:sz w:val="22"/>
        </w:rPr>
        <w:t xml:space="preserve">The position at </w:t>
      </w:r>
      <w:r w:rsidR="00F234BC" w:rsidRPr="00826D69">
        <w:rPr>
          <w:bCs/>
          <w:sz w:val="22"/>
        </w:rPr>
        <w:t>31</w:t>
      </w:r>
      <w:r w:rsidR="00F234BC" w:rsidRPr="00826D69">
        <w:rPr>
          <w:bCs/>
          <w:sz w:val="22"/>
          <w:vertAlign w:val="superscript"/>
        </w:rPr>
        <w:t>st</w:t>
      </w:r>
      <w:r w:rsidR="00F234BC" w:rsidRPr="00826D69">
        <w:rPr>
          <w:bCs/>
          <w:sz w:val="22"/>
        </w:rPr>
        <w:t xml:space="preserve"> March 202</w:t>
      </w:r>
      <w:r w:rsidR="00FD5218">
        <w:rPr>
          <w:bCs/>
          <w:sz w:val="22"/>
        </w:rPr>
        <w:t>4</w:t>
      </w:r>
      <w:r w:rsidR="00F234BC" w:rsidRPr="00826D69">
        <w:rPr>
          <w:bCs/>
          <w:sz w:val="22"/>
        </w:rPr>
        <w:t xml:space="preserve"> is straightforward - £15,000 * 1/57 = </w:t>
      </w:r>
      <w:r w:rsidR="00D8160A" w:rsidRPr="00826D69">
        <w:rPr>
          <w:bCs/>
          <w:sz w:val="22"/>
        </w:rPr>
        <w:t>£263.16</w:t>
      </w:r>
    </w:p>
    <w:p w14:paraId="2F7BB0C3" w14:textId="77777777" w:rsidR="00D8160A" w:rsidRPr="00826D69" w:rsidRDefault="00D8160A" w:rsidP="00360C38">
      <w:pPr>
        <w:rPr>
          <w:bCs/>
          <w:sz w:val="22"/>
        </w:rPr>
      </w:pPr>
    </w:p>
    <w:p w14:paraId="20E0C21E" w14:textId="71F4C6A9" w:rsidR="00D8160A" w:rsidRPr="00826D69" w:rsidRDefault="00D8160A" w:rsidP="00360C38">
      <w:pPr>
        <w:rPr>
          <w:bCs/>
          <w:sz w:val="22"/>
        </w:rPr>
      </w:pPr>
      <w:r w:rsidRPr="00826D69">
        <w:rPr>
          <w:bCs/>
          <w:sz w:val="22"/>
        </w:rPr>
        <w:t>At 31</w:t>
      </w:r>
      <w:r w:rsidRPr="00826D69">
        <w:rPr>
          <w:bCs/>
          <w:sz w:val="22"/>
          <w:vertAlign w:val="superscript"/>
        </w:rPr>
        <w:t>st</w:t>
      </w:r>
      <w:r w:rsidRPr="00826D69">
        <w:rPr>
          <w:bCs/>
          <w:sz w:val="22"/>
        </w:rPr>
        <w:t xml:space="preserve"> March 202</w:t>
      </w:r>
      <w:r w:rsidR="00AB463D">
        <w:rPr>
          <w:bCs/>
          <w:sz w:val="22"/>
        </w:rPr>
        <w:t>5</w:t>
      </w:r>
      <w:r w:rsidRPr="00826D69">
        <w:rPr>
          <w:bCs/>
          <w:sz w:val="22"/>
        </w:rPr>
        <w:t xml:space="preserve"> Alice has </w:t>
      </w:r>
      <w:r w:rsidR="00466857" w:rsidRPr="00826D69">
        <w:rPr>
          <w:bCs/>
          <w:sz w:val="22"/>
        </w:rPr>
        <w:t>(£35,000 *1/57) = £614.04 for that year plus the indexed pension from the previous year (£</w:t>
      </w:r>
      <w:r w:rsidR="00FE4A87" w:rsidRPr="00826D69">
        <w:rPr>
          <w:bCs/>
          <w:sz w:val="22"/>
        </w:rPr>
        <w:t>263.16 + 3.6 per cent = £272.63)</w:t>
      </w:r>
      <w:r w:rsidR="0055331A">
        <w:rPr>
          <w:bCs/>
          <w:sz w:val="22"/>
        </w:rPr>
        <w:t>.</w:t>
      </w:r>
    </w:p>
    <w:p w14:paraId="5CF27109" w14:textId="77777777" w:rsidR="00FE4A87" w:rsidRPr="00826D69" w:rsidRDefault="00FE4A87" w:rsidP="00360C38">
      <w:pPr>
        <w:rPr>
          <w:bCs/>
          <w:sz w:val="22"/>
        </w:rPr>
      </w:pPr>
    </w:p>
    <w:p w14:paraId="51854404" w14:textId="4C686A0B" w:rsidR="00F613DD" w:rsidRPr="00826D69" w:rsidRDefault="00FE4A87" w:rsidP="00360C38">
      <w:pPr>
        <w:rPr>
          <w:bCs/>
          <w:sz w:val="22"/>
        </w:rPr>
      </w:pPr>
      <w:r w:rsidRPr="00826D69">
        <w:rPr>
          <w:bCs/>
          <w:sz w:val="22"/>
        </w:rPr>
        <w:t>Total pension is £886.67</w:t>
      </w:r>
    </w:p>
    <w:p w14:paraId="2BB11DE1" w14:textId="77777777" w:rsidR="00AB5EFB" w:rsidRPr="00826D69" w:rsidRDefault="00AB5EFB" w:rsidP="00360C38">
      <w:pPr>
        <w:rPr>
          <w:bCs/>
          <w:sz w:val="22"/>
        </w:rPr>
      </w:pPr>
    </w:p>
    <w:p w14:paraId="25FBA7C2" w14:textId="1166B16B" w:rsidR="00360C38" w:rsidRPr="00826D69" w:rsidRDefault="00360C38" w:rsidP="00360C38">
      <w:pPr>
        <w:rPr>
          <w:b/>
          <w:sz w:val="22"/>
        </w:rPr>
      </w:pPr>
      <w:r w:rsidRPr="00826D69">
        <w:rPr>
          <w:b/>
          <w:sz w:val="22"/>
        </w:rPr>
        <w:t>Pension age</w:t>
      </w:r>
    </w:p>
    <w:p w14:paraId="425F86C2" w14:textId="77777777" w:rsidR="00360C38" w:rsidRPr="00826D69" w:rsidRDefault="00360C38" w:rsidP="00360C38">
      <w:pPr>
        <w:jc w:val="both"/>
        <w:rPr>
          <w:sz w:val="22"/>
        </w:rPr>
      </w:pPr>
      <w:r w:rsidRPr="00826D69">
        <w:rPr>
          <w:sz w:val="22"/>
        </w:rPr>
        <w:t xml:space="preserve">In the career average scheme, the normal pension age (the age at which you can get your pension rights in full) is the State pension age. </w:t>
      </w:r>
    </w:p>
    <w:p w14:paraId="65C18CAD" w14:textId="77777777" w:rsidR="00360C38" w:rsidRPr="00826D69" w:rsidRDefault="00360C38" w:rsidP="00360C38">
      <w:pPr>
        <w:jc w:val="both"/>
        <w:rPr>
          <w:sz w:val="22"/>
        </w:rPr>
      </w:pPr>
    </w:p>
    <w:p w14:paraId="4D3EBEA2" w14:textId="5A29B818" w:rsidR="00360C38" w:rsidRPr="00826D69" w:rsidRDefault="00360C38" w:rsidP="00360C38">
      <w:pPr>
        <w:jc w:val="both"/>
        <w:rPr>
          <w:sz w:val="22"/>
        </w:rPr>
      </w:pPr>
      <w:r w:rsidRPr="00826D69">
        <w:rPr>
          <w:sz w:val="22"/>
        </w:rPr>
        <w:t>This means (based on ages as at April 20</w:t>
      </w:r>
      <w:r w:rsidR="00FC3C6E" w:rsidRPr="00826D69">
        <w:rPr>
          <w:sz w:val="22"/>
        </w:rPr>
        <w:t>2</w:t>
      </w:r>
      <w:r w:rsidR="00AB463D">
        <w:rPr>
          <w:sz w:val="22"/>
        </w:rPr>
        <w:t>4</w:t>
      </w:r>
      <w:r w:rsidRPr="00826D69">
        <w:rPr>
          <w:sz w:val="22"/>
        </w:rPr>
        <w:t>) – people aged 4</w:t>
      </w:r>
      <w:r w:rsidR="00AB463D">
        <w:rPr>
          <w:sz w:val="22"/>
        </w:rPr>
        <w:t>6</w:t>
      </w:r>
      <w:r w:rsidRPr="00826D69">
        <w:rPr>
          <w:sz w:val="22"/>
        </w:rPr>
        <w:t xml:space="preserve"> and under have a pension age of 68, people aged 4</w:t>
      </w:r>
      <w:r w:rsidR="00AB463D">
        <w:rPr>
          <w:sz w:val="22"/>
        </w:rPr>
        <w:t>7</w:t>
      </w:r>
      <w:r w:rsidRPr="00826D69">
        <w:rPr>
          <w:sz w:val="22"/>
        </w:rPr>
        <w:t xml:space="preserve"> to </w:t>
      </w:r>
      <w:r w:rsidR="009C59DE" w:rsidRPr="00826D69">
        <w:rPr>
          <w:sz w:val="22"/>
        </w:rPr>
        <w:t>6</w:t>
      </w:r>
      <w:r w:rsidR="00AB463D">
        <w:rPr>
          <w:sz w:val="22"/>
        </w:rPr>
        <w:t>2</w:t>
      </w:r>
      <w:r w:rsidRPr="00826D69">
        <w:rPr>
          <w:sz w:val="22"/>
        </w:rPr>
        <w:t xml:space="preserve"> have a pension age of 67 and people aged </w:t>
      </w:r>
      <w:r w:rsidR="009C59DE" w:rsidRPr="00826D69">
        <w:rPr>
          <w:sz w:val="22"/>
        </w:rPr>
        <w:t>6</w:t>
      </w:r>
      <w:r w:rsidR="00AB463D">
        <w:rPr>
          <w:sz w:val="22"/>
        </w:rPr>
        <w:t>3</w:t>
      </w:r>
      <w:r w:rsidRPr="00826D69">
        <w:rPr>
          <w:sz w:val="22"/>
        </w:rPr>
        <w:t xml:space="preserve"> to 6</w:t>
      </w:r>
      <w:r w:rsidR="009C59DE" w:rsidRPr="00826D69">
        <w:rPr>
          <w:sz w:val="22"/>
        </w:rPr>
        <w:t>6</w:t>
      </w:r>
      <w:r w:rsidRPr="00826D69">
        <w:rPr>
          <w:sz w:val="22"/>
        </w:rPr>
        <w:t xml:space="preserve"> have a pension age </w:t>
      </w:r>
      <w:r w:rsidR="002B174D">
        <w:rPr>
          <w:sz w:val="22"/>
        </w:rPr>
        <w:t>of 66</w:t>
      </w:r>
      <w:r w:rsidR="005978F7">
        <w:rPr>
          <w:sz w:val="22"/>
        </w:rPr>
        <w:t>.</w:t>
      </w:r>
    </w:p>
    <w:p w14:paraId="7B243B5E" w14:textId="77777777" w:rsidR="00360C38" w:rsidRPr="00826D69" w:rsidRDefault="00360C38" w:rsidP="00360C38">
      <w:pPr>
        <w:jc w:val="both"/>
        <w:rPr>
          <w:sz w:val="22"/>
        </w:rPr>
      </w:pPr>
    </w:p>
    <w:p w14:paraId="38068248" w14:textId="37314C4E" w:rsidR="00360C38" w:rsidRPr="00826D69" w:rsidRDefault="00360C38" w:rsidP="00360C38">
      <w:pPr>
        <w:jc w:val="both"/>
        <w:rPr>
          <w:sz w:val="22"/>
        </w:rPr>
      </w:pPr>
      <w:r w:rsidRPr="00826D69">
        <w:rPr>
          <w:sz w:val="22"/>
        </w:rPr>
        <w:t xml:space="preserve">The problem is that the state pension age may well rise. Under the Pensions Act 2014, there must be a review of the state pension age at least every six years. The stated aim is to keep state pension receipt to the same proportion of adult life. </w:t>
      </w:r>
    </w:p>
    <w:p w14:paraId="6CC0C4D1" w14:textId="77777777" w:rsidR="00360C38" w:rsidRPr="00826D69" w:rsidRDefault="00360C38" w:rsidP="00360C38">
      <w:pPr>
        <w:jc w:val="both"/>
        <w:rPr>
          <w:sz w:val="22"/>
        </w:rPr>
      </w:pPr>
    </w:p>
    <w:p w14:paraId="3A4B7CC3" w14:textId="77777777" w:rsidR="00360C38" w:rsidRPr="00826D69" w:rsidRDefault="00360C38" w:rsidP="00360C38">
      <w:pPr>
        <w:jc w:val="both"/>
        <w:rPr>
          <w:sz w:val="22"/>
        </w:rPr>
      </w:pPr>
      <w:r w:rsidRPr="00826D69">
        <w:rPr>
          <w:sz w:val="22"/>
        </w:rPr>
        <w:t>The N</w:t>
      </w:r>
      <w:r w:rsidR="00316127" w:rsidRPr="00826D69">
        <w:rPr>
          <w:sz w:val="22"/>
        </w:rPr>
        <w:t>EU</w:t>
      </w:r>
      <w:r w:rsidRPr="00826D69">
        <w:rPr>
          <w:sz w:val="22"/>
        </w:rPr>
        <w:t xml:space="preserve"> believes this review mechanism will lead to further increases in the state pension age, which feeds directly through into the TPS. Younger teachers potentially face working into their 70s. The N</w:t>
      </w:r>
      <w:r w:rsidR="00316127" w:rsidRPr="00826D69">
        <w:rPr>
          <w:sz w:val="22"/>
        </w:rPr>
        <w:t>EU</w:t>
      </w:r>
      <w:r w:rsidRPr="00826D69">
        <w:rPr>
          <w:sz w:val="22"/>
        </w:rPr>
        <w:t xml:space="preserve"> thinks teachers can’t be expected to work into their late 60s or beyond.</w:t>
      </w:r>
    </w:p>
    <w:p w14:paraId="7CFE21F9" w14:textId="77777777" w:rsidR="00316127" w:rsidRPr="00826D69" w:rsidRDefault="00316127" w:rsidP="00360C38">
      <w:pPr>
        <w:jc w:val="both"/>
        <w:rPr>
          <w:sz w:val="22"/>
        </w:rPr>
      </w:pPr>
    </w:p>
    <w:p w14:paraId="3C6A4531" w14:textId="77777777" w:rsidR="00316127" w:rsidRPr="00826D69" w:rsidRDefault="00316127" w:rsidP="00360C38">
      <w:pPr>
        <w:jc w:val="both"/>
        <w:rPr>
          <w:sz w:val="22"/>
        </w:rPr>
      </w:pPr>
      <w:r w:rsidRPr="00826D69">
        <w:rPr>
          <w:sz w:val="22"/>
        </w:rPr>
        <w:t>Teachers in the final salary scheme keep a NPA at either 60 or 65 regardless of the state pension age.</w:t>
      </w:r>
    </w:p>
    <w:p w14:paraId="53ED4CD4" w14:textId="77777777" w:rsidR="00360C38" w:rsidRPr="00826D69" w:rsidRDefault="00360C38" w:rsidP="00360C38">
      <w:pPr>
        <w:jc w:val="both"/>
        <w:rPr>
          <w:sz w:val="22"/>
        </w:rPr>
      </w:pPr>
    </w:p>
    <w:p w14:paraId="78AF71B3" w14:textId="77777777" w:rsidR="00B9062A" w:rsidRPr="00826D69" w:rsidRDefault="00B9062A" w:rsidP="00B9062A">
      <w:pPr>
        <w:rPr>
          <w:b/>
          <w:sz w:val="22"/>
        </w:rPr>
      </w:pPr>
      <w:r w:rsidRPr="00826D69">
        <w:rPr>
          <w:b/>
          <w:sz w:val="22"/>
        </w:rPr>
        <w:t>Operation of career average scheme</w:t>
      </w:r>
    </w:p>
    <w:p w14:paraId="7DA9C793" w14:textId="77777777" w:rsidR="00B9062A" w:rsidRPr="00826D69" w:rsidRDefault="00B9062A" w:rsidP="00B9062A">
      <w:pPr>
        <w:jc w:val="both"/>
        <w:rPr>
          <w:rFonts w:eastAsia="Times New Roman" w:cs="Arial"/>
          <w:sz w:val="22"/>
        </w:rPr>
      </w:pPr>
      <w:r w:rsidRPr="00826D69">
        <w:rPr>
          <w:rFonts w:eastAsia="Times New Roman" w:cs="Arial"/>
          <w:sz w:val="22"/>
        </w:rPr>
        <w:t xml:space="preserve">In the final salary scheme, the pay teachers get in the early years of their career doesn’t matter for pension purposes if they stay in teaching. Under career average, </w:t>
      </w:r>
      <w:r w:rsidRPr="00826D69">
        <w:rPr>
          <w:rFonts w:eastAsia="Times New Roman" w:cs="Arial"/>
          <w:sz w:val="22"/>
          <w:u w:val="single"/>
        </w:rPr>
        <w:t>every</w:t>
      </w:r>
      <w:r w:rsidRPr="00826D69">
        <w:rPr>
          <w:rFonts w:eastAsia="Times New Roman" w:cs="Arial"/>
          <w:sz w:val="22"/>
        </w:rPr>
        <w:t xml:space="preserve"> month’s pay throughout a teacher’s career will decide their pension. </w:t>
      </w:r>
    </w:p>
    <w:p w14:paraId="755A53CD" w14:textId="77777777" w:rsidR="00B9062A" w:rsidRPr="00826D69" w:rsidRDefault="00B9062A" w:rsidP="00B9062A">
      <w:pPr>
        <w:jc w:val="both"/>
        <w:rPr>
          <w:rFonts w:eastAsia="Times New Roman" w:cs="Arial"/>
          <w:sz w:val="22"/>
        </w:rPr>
      </w:pPr>
    </w:p>
    <w:p w14:paraId="254DD3FD" w14:textId="77777777" w:rsidR="00B9062A" w:rsidRPr="00826D69" w:rsidRDefault="00B9062A" w:rsidP="00B9062A">
      <w:pPr>
        <w:jc w:val="both"/>
        <w:rPr>
          <w:rFonts w:eastAsia="Times New Roman" w:cs="Arial"/>
          <w:sz w:val="22"/>
        </w:rPr>
      </w:pPr>
      <w:r w:rsidRPr="00826D69">
        <w:rPr>
          <w:rFonts w:eastAsia="Times New Roman" w:cs="Arial"/>
          <w:sz w:val="22"/>
        </w:rPr>
        <w:t>The growing fragmentation of the school system means a growing number of small employers, and more changes of employer for teachers over their careers. These are perfect conditions for mistakes to be made. Teachers should keep every payslip! Payslips are the main evidence members will have to challenge errors in their records. It’s vital to keep payslips and other salary records (like P60s).</w:t>
      </w:r>
    </w:p>
    <w:p w14:paraId="35CA55C5" w14:textId="77777777" w:rsidR="00B9062A" w:rsidRPr="00826D69" w:rsidRDefault="00B9062A" w:rsidP="00B9062A">
      <w:pPr>
        <w:jc w:val="both"/>
        <w:rPr>
          <w:rFonts w:eastAsia="Times New Roman" w:cs="Arial"/>
          <w:sz w:val="22"/>
        </w:rPr>
      </w:pPr>
    </w:p>
    <w:p w14:paraId="2E493DA2" w14:textId="38205620" w:rsidR="00B9062A" w:rsidRPr="00826D69" w:rsidRDefault="00B9062A" w:rsidP="00B9062A">
      <w:pPr>
        <w:jc w:val="both"/>
        <w:rPr>
          <w:rFonts w:eastAsia="Times New Roman" w:cs="Arial"/>
          <w:sz w:val="22"/>
        </w:rPr>
      </w:pPr>
      <w:r w:rsidRPr="00826D69">
        <w:rPr>
          <w:rFonts w:eastAsia="Times New Roman" w:cs="Arial"/>
          <w:sz w:val="22"/>
        </w:rPr>
        <w:t xml:space="preserve">The TPS does not automatically send out paper benefit statements anymore. Teachers are expected to register with the ‘MyPensionOnline’ Service. It is vital that teachers register and then use the service – we know that many don’t use it even after they’ve registered! It’s important that teachers check their pension </w:t>
      </w:r>
      <w:r w:rsidR="00CB1AD6">
        <w:rPr>
          <w:rFonts w:eastAsia="Times New Roman" w:cs="Arial"/>
          <w:sz w:val="22"/>
        </w:rPr>
        <w:t>information</w:t>
      </w:r>
      <w:r w:rsidRPr="00826D69">
        <w:rPr>
          <w:rFonts w:eastAsia="Times New Roman" w:cs="Arial"/>
          <w:sz w:val="22"/>
        </w:rPr>
        <w:t xml:space="preserve"> and correct it if necessary. It’s easier to sort problems out at the time rather than close to retirement.</w:t>
      </w:r>
    </w:p>
    <w:p w14:paraId="5CB67AE1" w14:textId="77777777" w:rsidR="00B9062A" w:rsidRPr="00826D69" w:rsidRDefault="00B9062A" w:rsidP="007B5604">
      <w:pPr>
        <w:jc w:val="both"/>
        <w:rPr>
          <w:b/>
          <w:sz w:val="22"/>
        </w:rPr>
      </w:pPr>
    </w:p>
    <w:p w14:paraId="51A94DA9" w14:textId="5F94F70F" w:rsidR="00246584" w:rsidRPr="00826D69" w:rsidRDefault="00246584" w:rsidP="007B5604">
      <w:pPr>
        <w:jc w:val="both"/>
        <w:rPr>
          <w:b/>
          <w:sz w:val="22"/>
        </w:rPr>
      </w:pPr>
      <w:r w:rsidRPr="00826D69">
        <w:rPr>
          <w:b/>
          <w:sz w:val="22"/>
        </w:rPr>
        <w:t>Pension Build Up (FS60)</w:t>
      </w:r>
    </w:p>
    <w:p w14:paraId="671534C5" w14:textId="7BC09203" w:rsidR="00246584" w:rsidRPr="00826D69" w:rsidRDefault="00246584" w:rsidP="007B5604">
      <w:pPr>
        <w:jc w:val="both"/>
        <w:rPr>
          <w:bCs/>
          <w:sz w:val="22"/>
        </w:rPr>
      </w:pPr>
      <w:r w:rsidRPr="00826D69">
        <w:rPr>
          <w:bCs/>
          <w:sz w:val="22"/>
        </w:rPr>
        <w:lastRenderedPageBreak/>
        <w:t>This is just a simple explanation of how the final salary scheme works for those</w:t>
      </w:r>
      <w:r w:rsidR="00B03FAA" w:rsidRPr="00826D69">
        <w:rPr>
          <w:bCs/>
          <w:sz w:val="22"/>
        </w:rPr>
        <w:t xml:space="preserve"> with service</w:t>
      </w:r>
      <w:r w:rsidRPr="00826D69">
        <w:rPr>
          <w:bCs/>
          <w:sz w:val="22"/>
        </w:rPr>
        <w:t xml:space="preserve"> in the NPA 60 section (those who joined on or before 31 December 2006 who haven’t had a greater than 5 year break from teaching since 1 January 2007).</w:t>
      </w:r>
      <w:r w:rsidR="00B03FAA" w:rsidRPr="00826D69">
        <w:rPr>
          <w:bCs/>
          <w:sz w:val="22"/>
        </w:rPr>
        <w:t xml:space="preserve"> </w:t>
      </w:r>
    </w:p>
    <w:p w14:paraId="33964461" w14:textId="77777777" w:rsidR="00246584" w:rsidRPr="00826D69" w:rsidRDefault="00246584" w:rsidP="007B5604">
      <w:pPr>
        <w:jc w:val="both"/>
        <w:rPr>
          <w:bCs/>
          <w:sz w:val="22"/>
        </w:rPr>
      </w:pPr>
    </w:p>
    <w:p w14:paraId="26CA1CC6" w14:textId="77777777" w:rsidR="00246584" w:rsidRPr="00826D69" w:rsidRDefault="00246584" w:rsidP="007B5604">
      <w:pPr>
        <w:jc w:val="both"/>
        <w:rPr>
          <w:bCs/>
          <w:sz w:val="22"/>
        </w:rPr>
      </w:pPr>
      <w:r w:rsidRPr="00826D69">
        <w:rPr>
          <w:bCs/>
          <w:sz w:val="22"/>
        </w:rPr>
        <w:t>These teachers get 1/80 of their final pensionable salary per year of full-time service. So if a teacher has a final salary of £30,000 and 20 years of full-time service then the pension is:</w:t>
      </w:r>
    </w:p>
    <w:p w14:paraId="32BEA21C" w14:textId="77777777" w:rsidR="00246584" w:rsidRPr="00826D69" w:rsidRDefault="00246584" w:rsidP="007B5604">
      <w:pPr>
        <w:jc w:val="both"/>
        <w:rPr>
          <w:bCs/>
          <w:sz w:val="22"/>
        </w:rPr>
      </w:pPr>
    </w:p>
    <w:p w14:paraId="565DDF44" w14:textId="77777777" w:rsidR="00246584" w:rsidRPr="00826D69" w:rsidRDefault="00246584" w:rsidP="007B5604">
      <w:pPr>
        <w:jc w:val="both"/>
        <w:rPr>
          <w:bCs/>
          <w:sz w:val="22"/>
        </w:rPr>
      </w:pPr>
      <w:r w:rsidRPr="00826D69">
        <w:rPr>
          <w:bCs/>
          <w:sz w:val="22"/>
        </w:rPr>
        <w:t>£30,000 *20/80 = £7,500 a year. This pension increases in line with CPI inflation.</w:t>
      </w:r>
    </w:p>
    <w:p w14:paraId="6A4B1E66" w14:textId="77777777" w:rsidR="00246584" w:rsidRPr="00826D69" w:rsidRDefault="00246584" w:rsidP="007B5604">
      <w:pPr>
        <w:jc w:val="both"/>
        <w:rPr>
          <w:bCs/>
          <w:sz w:val="22"/>
        </w:rPr>
      </w:pPr>
    </w:p>
    <w:p w14:paraId="5EDA2211" w14:textId="77777777" w:rsidR="00246584" w:rsidRPr="00826D69" w:rsidRDefault="00246584" w:rsidP="007B5604">
      <w:pPr>
        <w:jc w:val="both"/>
        <w:rPr>
          <w:bCs/>
          <w:sz w:val="22"/>
        </w:rPr>
      </w:pPr>
      <w:r w:rsidRPr="00826D69">
        <w:rPr>
          <w:bCs/>
          <w:sz w:val="22"/>
        </w:rPr>
        <w:t>Teachers in the FS60 section also get 3 times their pension automatically as tax free cash - £22,500 in this case.</w:t>
      </w:r>
    </w:p>
    <w:p w14:paraId="33796771" w14:textId="77777777" w:rsidR="00735299" w:rsidRPr="00826D69" w:rsidRDefault="00735299" w:rsidP="007B5604">
      <w:pPr>
        <w:jc w:val="both"/>
        <w:rPr>
          <w:bCs/>
          <w:sz w:val="22"/>
        </w:rPr>
      </w:pPr>
    </w:p>
    <w:p w14:paraId="41B7C9E9" w14:textId="075BD5B1" w:rsidR="00735299" w:rsidRPr="00826D69" w:rsidRDefault="00735299" w:rsidP="007B5604">
      <w:pPr>
        <w:jc w:val="both"/>
        <w:rPr>
          <w:bCs/>
          <w:sz w:val="22"/>
        </w:rPr>
      </w:pPr>
      <w:bookmarkStart w:id="0" w:name="_Hlk102656525"/>
      <w:r w:rsidRPr="00735299">
        <w:rPr>
          <w:bCs/>
          <w:sz w:val="22"/>
        </w:rPr>
        <w:t>All teachers were moved into the career average section for further service from 1 April 2022.</w:t>
      </w:r>
      <w:bookmarkEnd w:id="0"/>
    </w:p>
    <w:p w14:paraId="515A05D1" w14:textId="77777777" w:rsidR="00D647B7" w:rsidRPr="00826D69" w:rsidRDefault="00D647B7" w:rsidP="007B5604">
      <w:pPr>
        <w:jc w:val="both"/>
        <w:rPr>
          <w:bCs/>
          <w:sz w:val="22"/>
        </w:rPr>
      </w:pPr>
    </w:p>
    <w:p w14:paraId="1C9CF2D9" w14:textId="0FD81613" w:rsidR="00D647B7" w:rsidRPr="00826D69" w:rsidRDefault="00D647B7" w:rsidP="007B5604">
      <w:pPr>
        <w:jc w:val="both"/>
        <w:rPr>
          <w:bCs/>
          <w:sz w:val="22"/>
        </w:rPr>
      </w:pPr>
      <w:r w:rsidRPr="00826D69">
        <w:rPr>
          <w:bCs/>
          <w:sz w:val="22"/>
        </w:rPr>
        <w:t>Pension is payable in full at age 60</w:t>
      </w:r>
      <w:r w:rsidR="00826D69" w:rsidRPr="00826D69">
        <w:rPr>
          <w:bCs/>
          <w:sz w:val="22"/>
        </w:rPr>
        <w:t>.</w:t>
      </w:r>
    </w:p>
    <w:p w14:paraId="7159DF68" w14:textId="77777777" w:rsidR="00246584" w:rsidRPr="00826D69" w:rsidRDefault="00246584" w:rsidP="00360C38">
      <w:pPr>
        <w:rPr>
          <w:bCs/>
          <w:sz w:val="22"/>
        </w:rPr>
      </w:pPr>
    </w:p>
    <w:p w14:paraId="1FDC94F1" w14:textId="77777777" w:rsidR="00246584" w:rsidRPr="00826D69" w:rsidRDefault="00246584" w:rsidP="00246584">
      <w:pPr>
        <w:rPr>
          <w:b/>
          <w:sz w:val="22"/>
        </w:rPr>
      </w:pPr>
      <w:r w:rsidRPr="00826D69">
        <w:rPr>
          <w:b/>
          <w:sz w:val="22"/>
        </w:rPr>
        <w:t>Pension Build Up (FS65)</w:t>
      </w:r>
    </w:p>
    <w:p w14:paraId="6C4A9446" w14:textId="77777777" w:rsidR="00246584" w:rsidRPr="00826D69" w:rsidRDefault="00E67ECB" w:rsidP="007B5604">
      <w:pPr>
        <w:jc w:val="both"/>
        <w:rPr>
          <w:bCs/>
          <w:sz w:val="22"/>
        </w:rPr>
      </w:pPr>
      <w:r w:rsidRPr="00826D69">
        <w:rPr>
          <w:bCs/>
          <w:sz w:val="22"/>
        </w:rPr>
        <w:t>Again, a simple explanation of how the final salary scheme works, this time for those in the NPA 65 section (those who joined on or after 1 January 2007).</w:t>
      </w:r>
    </w:p>
    <w:p w14:paraId="04274083" w14:textId="77777777" w:rsidR="00E67ECB" w:rsidRPr="00826D69" w:rsidRDefault="00E67ECB" w:rsidP="007B5604">
      <w:pPr>
        <w:jc w:val="both"/>
        <w:rPr>
          <w:bCs/>
          <w:sz w:val="22"/>
        </w:rPr>
      </w:pPr>
    </w:p>
    <w:p w14:paraId="70E29776" w14:textId="77777777" w:rsidR="00E67ECB" w:rsidRPr="00826D69" w:rsidRDefault="00E67ECB" w:rsidP="00E67ECB">
      <w:pPr>
        <w:jc w:val="both"/>
        <w:rPr>
          <w:bCs/>
          <w:sz w:val="22"/>
        </w:rPr>
      </w:pPr>
      <w:r w:rsidRPr="00826D69">
        <w:rPr>
          <w:bCs/>
          <w:sz w:val="22"/>
        </w:rPr>
        <w:t>These teachers get 1/60 of their final pensionable salary per year of full-time service. So if a teacher has a final salary of £30,000 and 20 years of full-time service then the pension is:</w:t>
      </w:r>
    </w:p>
    <w:p w14:paraId="3FD97AB6" w14:textId="77777777" w:rsidR="00E67ECB" w:rsidRPr="00826D69" w:rsidRDefault="00E67ECB" w:rsidP="00E67ECB">
      <w:pPr>
        <w:jc w:val="both"/>
        <w:rPr>
          <w:bCs/>
          <w:sz w:val="22"/>
        </w:rPr>
      </w:pPr>
    </w:p>
    <w:p w14:paraId="154560E0" w14:textId="77777777" w:rsidR="00E67ECB" w:rsidRPr="00826D69" w:rsidRDefault="00E67ECB" w:rsidP="00E67ECB">
      <w:pPr>
        <w:jc w:val="both"/>
        <w:rPr>
          <w:bCs/>
          <w:sz w:val="22"/>
        </w:rPr>
      </w:pPr>
      <w:r w:rsidRPr="00826D69">
        <w:rPr>
          <w:bCs/>
          <w:sz w:val="22"/>
        </w:rPr>
        <w:t>£30,000 *20/60 = £10,000 a year. This pension increases in line with CPI inflation.</w:t>
      </w:r>
    </w:p>
    <w:p w14:paraId="21A2332A" w14:textId="77777777" w:rsidR="00E67ECB" w:rsidRPr="00826D69" w:rsidRDefault="00E67ECB" w:rsidP="007B5604">
      <w:pPr>
        <w:jc w:val="both"/>
        <w:rPr>
          <w:bCs/>
          <w:sz w:val="22"/>
        </w:rPr>
      </w:pPr>
    </w:p>
    <w:p w14:paraId="6691982A" w14:textId="77777777" w:rsidR="00246584" w:rsidRPr="00826D69" w:rsidRDefault="00E67ECB" w:rsidP="007B5604">
      <w:pPr>
        <w:jc w:val="both"/>
        <w:rPr>
          <w:bCs/>
          <w:sz w:val="22"/>
        </w:rPr>
      </w:pPr>
      <w:r w:rsidRPr="00826D69">
        <w:rPr>
          <w:bCs/>
          <w:sz w:val="22"/>
        </w:rPr>
        <w:t xml:space="preserve">There is no automatic tax free cash available in the NPA 65 section. Members can convert pension to cash at the rate of £12 of cash for each £1 of cash given up. There is a calculator available on the TPS website </w:t>
      </w:r>
      <w:hyperlink r:id="rId14" w:history="1">
        <w:r w:rsidRPr="00826D69">
          <w:rPr>
            <w:rStyle w:val="Hyperlink"/>
            <w:bCs/>
            <w:sz w:val="22"/>
          </w:rPr>
          <w:t>https://www.teacherspensions.co.uk/</w:t>
        </w:r>
      </w:hyperlink>
      <w:r w:rsidRPr="00826D69">
        <w:rPr>
          <w:bCs/>
          <w:sz w:val="22"/>
        </w:rPr>
        <w:t xml:space="preserve"> .</w:t>
      </w:r>
    </w:p>
    <w:p w14:paraId="47E5855B" w14:textId="77777777" w:rsidR="00735299" w:rsidRPr="00826D69" w:rsidRDefault="00735299" w:rsidP="007B5604">
      <w:pPr>
        <w:jc w:val="both"/>
        <w:rPr>
          <w:bCs/>
          <w:sz w:val="22"/>
        </w:rPr>
      </w:pPr>
    </w:p>
    <w:p w14:paraId="024C715D" w14:textId="51144CB6" w:rsidR="00735299" w:rsidRPr="00826D69" w:rsidRDefault="00735299" w:rsidP="007B5604">
      <w:pPr>
        <w:jc w:val="both"/>
        <w:rPr>
          <w:bCs/>
          <w:sz w:val="22"/>
        </w:rPr>
      </w:pPr>
      <w:r w:rsidRPr="00735299">
        <w:rPr>
          <w:bCs/>
          <w:sz w:val="22"/>
        </w:rPr>
        <w:t>All teachers were moved into the career average section for further service from 1 April 2022.</w:t>
      </w:r>
    </w:p>
    <w:p w14:paraId="4DBB40B3" w14:textId="77777777" w:rsidR="00826D69" w:rsidRPr="00826D69" w:rsidRDefault="00826D69" w:rsidP="007B5604">
      <w:pPr>
        <w:jc w:val="both"/>
        <w:rPr>
          <w:bCs/>
          <w:sz w:val="22"/>
        </w:rPr>
      </w:pPr>
    </w:p>
    <w:p w14:paraId="61877C47" w14:textId="741CCC57" w:rsidR="00826D69" w:rsidRPr="00826D69" w:rsidRDefault="00826D69" w:rsidP="007B5604">
      <w:pPr>
        <w:jc w:val="both"/>
        <w:rPr>
          <w:bCs/>
          <w:sz w:val="22"/>
        </w:rPr>
      </w:pPr>
      <w:r w:rsidRPr="00826D69">
        <w:rPr>
          <w:bCs/>
          <w:sz w:val="22"/>
        </w:rPr>
        <w:t>Pension is payable in full at age 65.</w:t>
      </w:r>
    </w:p>
    <w:p w14:paraId="1AB3FEBA" w14:textId="77777777" w:rsidR="006D4E0E" w:rsidRPr="00826D69" w:rsidRDefault="006D4E0E" w:rsidP="00360C38">
      <w:pPr>
        <w:pStyle w:val="Default"/>
        <w:jc w:val="both"/>
        <w:rPr>
          <w:sz w:val="22"/>
          <w:szCs w:val="22"/>
        </w:rPr>
      </w:pPr>
    </w:p>
    <w:p w14:paraId="73F0CFA2" w14:textId="77777777" w:rsidR="005F511A" w:rsidRPr="00826D69" w:rsidRDefault="005F511A" w:rsidP="005F511A">
      <w:pPr>
        <w:rPr>
          <w:b/>
          <w:sz w:val="22"/>
        </w:rPr>
      </w:pPr>
      <w:r w:rsidRPr="00826D69">
        <w:rPr>
          <w:b/>
          <w:sz w:val="22"/>
        </w:rPr>
        <w:t>Contribution rates</w:t>
      </w:r>
    </w:p>
    <w:p w14:paraId="785A7016" w14:textId="5C17B246" w:rsidR="005F511A" w:rsidRPr="00826D69" w:rsidRDefault="005F511A" w:rsidP="005F511A">
      <w:pPr>
        <w:jc w:val="both"/>
        <w:rPr>
          <w:sz w:val="22"/>
        </w:rPr>
      </w:pPr>
      <w:r w:rsidRPr="00826D69">
        <w:rPr>
          <w:sz w:val="22"/>
        </w:rPr>
        <w:t>Teachers pay an average 9.6 per cent towards their pensions. The TPS has a six-tier contribution structure.</w:t>
      </w:r>
    </w:p>
    <w:p w14:paraId="408AEE1C" w14:textId="77777777" w:rsidR="005F511A" w:rsidRPr="00826D69" w:rsidRDefault="005F511A" w:rsidP="005F511A">
      <w:pPr>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59"/>
      </w:tblGrid>
      <w:tr w:rsidR="005F511A" w:rsidRPr="00826D69" w14:paraId="655CBC58" w14:textId="77777777" w:rsidTr="00224839">
        <w:tc>
          <w:tcPr>
            <w:tcW w:w="4513" w:type="dxa"/>
            <w:shd w:val="clear" w:color="auto" w:fill="auto"/>
          </w:tcPr>
          <w:p w14:paraId="2CDD743A" w14:textId="77777777" w:rsidR="005F511A" w:rsidRPr="00826D69" w:rsidRDefault="005F511A" w:rsidP="00224839">
            <w:pPr>
              <w:jc w:val="center"/>
              <w:rPr>
                <w:b/>
                <w:sz w:val="22"/>
              </w:rPr>
            </w:pPr>
            <w:r w:rsidRPr="00826D69">
              <w:rPr>
                <w:b/>
                <w:sz w:val="22"/>
              </w:rPr>
              <w:t>Salary</w:t>
            </w:r>
          </w:p>
        </w:tc>
        <w:tc>
          <w:tcPr>
            <w:tcW w:w="4559" w:type="dxa"/>
            <w:shd w:val="clear" w:color="auto" w:fill="auto"/>
          </w:tcPr>
          <w:p w14:paraId="46C0968F" w14:textId="77777777" w:rsidR="005F511A" w:rsidRPr="00826D69" w:rsidRDefault="005F511A" w:rsidP="00224839">
            <w:pPr>
              <w:jc w:val="center"/>
              <w:rPr>
                <w:b/>
                <w:sz w:val="22"/>
              </w:rPr>
            </w:pPr>
            <w:r w:rsidRPr="00826D69">
              <w:rPr>
                <w:b/>
                <w:sz w:val="22"/>
              </w:rPr>
              <w:t>Contribution Rate</w:t>
            </w:r>
          </w:p>
        </w:tc>
      </w:tr>
      <w:tr w:rsidR="005F511A" w:rsidRPr="00826D69" w14:paraId="29716F00" w14:textId="77777777" w:rsidTr="00224839">
        <w:tc>
          <w:tcPr>
            <w:tcW w:w="4513" w:type="dxa"/>
            <w:shd w:val="clear" w:color="auto" w:fill="auto"/>
          </w:tcPr>
          <w:p w14:paraId="31B2785A" w14:textId="2A997A54" w:rsidR="005F511A" w:rsidRPr="00826D69" w:rsidRDefault="005F511A" w:rsidP="00224839">
            <w:pPr>
              <w:jc w:val="center"/>
              <w:rPr>
                <w:sz w:val="22"/>
              </w:rPr>
            </w:pPr>
            <w:r w:rsidRPr="00826D69">
              <w:rPr>
                <w:sz w:val="22"/>
              </w:rPr>
              <w:t>£0 - £</w:t>
            </w:r>
            <w:r w:rsidR="00515E84">
              <w:rPr>
                <w:sz w:val="22"/>
              </w:rPr>
              <w:t>3</w:t>
            </w:r>
            <w:r w:rsidR="005510BF">
              <w:rPr>
                <w:sz w:val="22"/>
              </w:rPr>
              <w:t>4,289</w:t>
            </w:r>
          </w:p>
        </w:tc>
        <w:tc>
          <w:tcPr>
            <w:tcW w:w="4559" w:type="dxa"/>
            <w:shd w:val="clear" w:color="auto" w:fill="auto"/>
          </w:tcPr>
          <w:p w14:paraId="26BFDC41" w14:textId="77777777" w:rsidR="005F511A" w:rsidRPr="00826D69" w:rsidRDefault="005F511A" w:rsidP="00224839">
            <w:pPr>
              <w:jc w:val="center"/>
              <w:rPr>
                <w:sz w:val="22"/>
              </w:rPr>
            </w:pPr>
            <w:r w:rsidRPr="00826D69">
              <w:rPr>
                <w:sz w:val="22"/>
              </w:rPr>
              <w:t>7.4%</w:t>
            </w:r>
          </w:p>
        </w:tc>
      </w:tr>
      <w:tr w:rsidR="005F511A" w:rsidRPr="00826D69" w14:paraId="1851E583" w14:textId="77777777" w:rsidTr="00224839">
        <w:tc>
          <w:tcPr>
            <w:tcW w:w="4513" w:type="dxa"/>
            <w:shd w:val="clear" w:color="auto" w:fill="auto"/>
          </w:tcPr>
          <w:p w14:paraId="7FBC0E1D" w14:textId="152E63DB" w:rsidR="005F511A" w:rsidRPr="00826D69" w:rsidRDefault="005F511A" w:rsidP="00224839">
            <w:pPr>
              <w:jc w:val="center"/>
              <w:rPr>
                <w:sz w:val="22"/>
              </w:rPr>
            </w:pPr>
            <w:r w:rsidRPr="00826D69">
              <w:rPr>
                <w:sz w:val="22"/>
              </w:rPr>
              <w:t>£</w:t>
            </w:r>
            <w:r w:rsidR="00515E84">
              <w:rPr>
                <w:sz w:val="22"/>
              </w:rPr>
              <w:t>3</w:t>
            </w:r>
            <w:r w:rsidR="0024376B">
              <w:rPr>
                <w:sz w:val="22"/>
              </w:rPr>
              <w:t>4,290</w:t>
            </w:r>
            <w:r w:rsidRPr="00826D69">
              <w:rPr>
                <w:sz w:val="22"/>
              </w:rPr>
              <w:t xml:space="preserve"> - £</w:t>
            </w:r>
            <w:r w:rsidR="00DC371B">
              <w:rPr>
                <w:sz w:val="22"/>
              </w:rPr>
              <w:t>4</w:t>
            </w:r>
            <w:r w:rsidR="0024376B">
              <w:rPr>
                <w:sz w:val="22"/>
              </w:rPr>
              <w:t>6,158</w:t>
            </w:r>
          </w:p>
        </w:tc>
        <w:tc>
          <w:tcPr>
            <w:tcW w:w="4559" w:type="dxa"/>
            <w:shd w:val="clear" w:color="auto" w:fill="auto"/>
          </w:tcPr>
          <w:p w14:paraId="6C767ACC" w14:textId="77777777" w:rsidR="005F511A" w:rsidRPr="00826D69" w:rsidRDefault="005F511A" w:rsidP="00224839">
            <w:pPr>
              <w:jc w:val="center"/>
              <w:rPr>
                <w:sz w:val="22"/>
              </w:rPr>
            </w:pPr>
            <w:r w:rsidRPr="00826D69">
              <w:rPr>
                <w:sz w:val="22"/>
              </w:rPr>
              <w:t>8.6%</w:t>
            </w:r>
          </w:p>
        </w:tc>
      </w:tr>
      <w:tr w:rsidR="005F511A" w:rsidRPr="00826D69" w14:paraId="5B209E4C" w14:textId="77777777" w:rsidTr="00224839">
        <w:tc>
          <w:tcPr>
            <w:tcW w:w="4513" w:type="dxa"/>
            <w:shd w:val="clear" w:color="auto" w:fill="auto"/>
          </w:tcPr>
          <w:p w14:paraId="18DEA0BE" w14:textId="215EB47C" w:rsidR="005F511A" w:rsidRPr="00826D69" w:rsidRDefault="005F511A" w:rsidP="00224839">
            <w:pPr>
              <w:jc w:val="center"/>
              <w:rPr>
                <w:sz w:val="22"/>
              </w:rPr>
            </w:pPr>
            <w:r w:rsidRPr="00826D69">
              <w:rPr>
                <w:sz w:val="22"/>
              </w:rPr>
              <w:t>£</w:t>
            </w:r>
            <w:r w:rsidR="00DC371B">
              <w:rPr>
                <w:sz w:val="22"/>
              </w:rPr>
              <w:t>4</w:t>
            </w:r>
            <w:r w:rsidR="0024376B">
              <w:rPr>
                <w:sz w:val="22"/>
              </w:rPr>
              <w:t>6,159</w:t>
            </w:r>
            <w:r w:rsidRPr="00826D69">
              <w:rPr>
                <w:sz w:val="22"/>
              </w:rPr>
              <w:t xml:space="preserve"> - £</w:t>
            </w:r>
            <w:r w:rsidR="00DC371B">
              <w:rPr>
                <w:sz w:val="22"/>
              </w:rPr>
              <w:t>5</w:t>
            </w:r>
            <w:r w:rsidR="00E362D2">
              <w:rPr>
                <w:sz w:val="22"/>
              </w:rPr>
              <w:t>4,729</w:t>
            </w:r>
          </w:p>
        </w:tc>
        <w:tc>
          <w:tcPr>
            <w:tcW w:w="4559" w:type="dxa"/>
            <w:shd w:val="clear" w:color="auto" w:fill="auto"/>
          </w:tcPr>
          <w:p w14:paraId="2FC95DCF" w14:textId="77777777" w:rsidR="005F511A" w:rsidRPr="00826D69" w:rsidRDefault="005F511A" w:rsidP="00224839">
            <w:pPr>
              <w:jc w:val="center"/>
              <w:rPr>
                <w:sz w:val="22"/>
              </w:rPr>
            </w:pPr>
            <w:r w:rsidRPr="00826D69">
              <w:rPr>
                <w:sz w:val="22"/>
              </w:rPr>
              <w:t>9.6%</w:t>
            </w:r>
          </w:p>
        </w:tc>
      </w:tr>
      <w:tr w:rsidR="005F511A" w:rsidRPr="00826D69" w14:paraId="6C95996F" w14:textId="77777777" w:rsidTr="00224839">
        <w:tc>
          <w:tcPr>
            <w:tcW w:w="4513" w:type="dxa"/>
            <w:shd w:val="clear" w:color="auto" w:fill="auto"/>
          </w:tcPr>
          <w:p w14:paraId="0D65AA1F" w14:textId="29111700" w:rsidR="005F511A" w:rsidRPr="00826D69" w:rsidRDefault="005F511A" w:rsidP="00224839">
            <w:pPr>
              <w:jc w:val="center"/>
              <w:rPr>
                <w:sz w:val="22"/>
              </w:rPr>
            </w:pPr>
            <w:r w:rsidRPr="00826D69">
              <w:rPr>
                <w:sz w:val="22"/>
              </w:rPr>
              <w:t>£</w:t>
            </w:r>
            <w:r w:rsidR="00DC371B">
              <w:rPr>
                <w:sz w:val="22"/>
              </w:rPr>
              <w:t>5</w:t>
            </w:r>
            <w:r w:rsidR="00E362D2">
              <w:rPr>
                <w:sz w:val="22"/>
              </w:rPr>
              <w:t>4,730</w:t>
            </w:r>
            <w:r w:rsidRPr="00826D69">
              <w:rPr>
                <w:sz w:val="22"/>
              </w:rPr>
              <w:t xml:space="preserve"> - £</w:t>
            </w:r>
            <w:r w:rsidR="00E362D2">
              <w:rPr>
                <w:sz w:val="22"/>
              </w:rPr>
              <w:t>72,534</w:t>
            </w:r>
          </w:p>
        </w:tc>
        <w:tc>
          <w:tcPr>
            <w:tcW w:w="4559" w:type="dxa"/>
            <w:shd w:val="clear" w:color="auto" w:fill="auto"/>
          </w:tcPr>
          <w:p w14:paraId="103C18F1" w14:textId="77777777" w:rsidR="005F511A" w:rsidRPr="00826D69" w:rsidRDefault="005F511A" w:rsidP="00224839">
            <w:pPr>
              <w:jc w:val="center"/>
              <w:rPr>
                <w:sz w:val="22"/>
              </w:rPr>
            </w:pPr>
            <w:r w:rsidRPr="00826D69">
              <w:rPr>
                <w:sz w:val="22"/>
              </w:rPr>
              <w:t>10.2%</w:t>
            </w:r>
          </w:p>
        </w:tc>
      </w:tr>
      <w:tr w:rsidR="005F511A" w:rsidRPr="00826D69" w14:paraId="5F36DD03" w14:textId="77777777" w:rsidTr="00224839">
        <w:tc>
          <w:tcPr>
            <w:tcW w:w="4513" w:type="dxa"/>
            <w:shd w:val="clear" w:color="auto" w:fill="auto"/>
          </w:tcPr>
          <w:p w14:paraId="422C26E5" w14:textId="7499B7EC" w:rsidR="005F511A" w:rsidRPr="00826D69" w:rsidRDefault="005F511A" w:rsidP="00224839">
            <w:pPr>
              <w:jc w:val="center"/>
              <w:rPr>
                <w:sz w:val="22"/>
              </w:rPr>
            </w:pPr>
            <w:r w:rsidRPr="00826D69">
              <w:rPr>
                <w:sz w:val="22"/>
              </w:rPr>
              <w:t>£</w:t>
            </w:r>
            <w:r w:rsidR="00E362D2">
              <w:rPr>
                <w:sz w:val="22"/>
              </w:rPr>
              <w:t>72,535</w:t>
            </w:r>
            <w:r w:rsidRPr="00826D69">
              <w:rPr>
                <w:sz w:val="22"/>
              </w:rPr>
              <w:t xml:space="preserve"> - £</w:t>
            </w:r>
            <w:r w:rsidR="00E362D2">
              <w:rPr>
                <w:sz w:val="22"/>
              </w:rPr>
              <w:t>98,908</w:t>
            </w:r>
          </w:p>
        </w:tc>
        <w:tc>
          <w:tcPr>
            <w:tcW w:w="4559" w:type="dxa"/>
            <w:shd w:val="clear" w:color="auto" w:fill="auto"/>
          </w:tcPr>
          <w:p w14:paraId="32DCE480" w14:textId="77777777" w:rsidR="005F511A" w:rsidRPr="00826D69" w:rsidRDefault="005F511A" w:rsidP="00224839">
            <w:pPr>
              <w:jc w:val="center"/>
              <w:rPr>
                <w:sz w:val="22"/>
              </w:rPr>
            </w:pPr>
            <w:r w:rsidRPr="00826D69">
              <w:rPr>
                <w:sz w:val="22"/>
              </w:rPr>
              <w:t>11.3%</w:t>
            </w:r>
          </w:p>
        </w:tc>
      </w:tr>
      <w:tr w:rsidR="005F511A" w:rsidRPr="00826D69" w14:paraId="5BC7531F" w14:textId="77777777" w:rsidTr="00224839">
        <w:tc>
          <w:tcPr>
            <w:tcW w:w="4513" w:type="dxa"/>
            <w:shd w:val="clear" w:color="auto" w:fill="auto"/>
          </w:tcPr>
          <w:p w14:paraId="56C9A61D" w14:textId="47B78051" w:rsidR="005F511A" w:rsidRPr="00826D69" w:rsidRDefault="005F511A" w:rsidP="00224839">
            <w:pPr>
              <w:jc w:val="center"/>
              <w:rPr>
                <w:sz w:val="22"/>
              </w:rPr>
            </w:pPr>
            <w:r w:rsidRPr="00826D69">
              <w:rPr>
                <w:sz w:val="22"/>
              </w:rPr>
              <w:t>£</w:t>
            </w:r>
            <w:r w:rsidR="005E7142">
              <w:rPr>
                <w:sz w:val="22"/>
              </w:rPr>
              <w:t>9</w:t>
            </w:r>
            <w:r w:rsidR="00E362D2">
              <w:rPr>
                <w:sz w:val="22"/>
              </w:rPr>
              <w:t>8,909</w:t>
            </w:r>
            <w:r w:rsidRPr="00826D69">
              <w:rPr>
                <w:sz w:val="22"/>
              </w:rPr>
              <w:t>+</w:t>
            </w:r>
          </w:p>
        </w:tc>
        <w:tc>
          <w:tcPr>
            <w:tcW w:w="4559" w:type="dxa"/>
            <w:shd w:val="clear" w:color="auto" w:fill="auto"/>
          </w:tcPr>
          <w:p w14:paraId="10F68134" w14:textId="77777777" w:rsidR="005F511A" w:rsidRPr="00826D69" w:rsidRDefault="005F511A" w:rsidP="00224839">
            <w:pPr>
              <w:jc w:val="center"/>
              <w:rPr>
                <w:sz w:val="22"/>
              </w:rPr>
            </w:pPr>
            <w:r w:rsidRPr="00826D69">
              <w:rPr>
                <w:sz w:val="22"/>
              </w:rPr>
              <w:t>11.7%</w:t>
            </w:r>
          </w:p>
        </w:tc>
      </w:tr>
    </w:tbl>
    <w:p w14:paraId="08CCC50D" w14:textId="77777777" w:rsidR="005F511A" w:rsidRPr="00826D69" w:rsidRDefault="005F511A" w:rsidP="005F511A">
      <w:pPr>
        <w:jc w:val="both"/>
        <w:rPr>
          <w:sz w:val="22"/>
        </w:rPr>
      </w:pPr>
    </w:p>
    <w:p w14:paraId="32B02FB5" w14:textId="77777777" w:rsidR="005F511A" w:rsidRPr="00826D69" w:rsidRDefault="005F511A" w:rsidP="005F511A">
      <w:pPr>
        <w:jc w:val="both"/>
        <w:rPr>
          <w:sz w:val="22"/>
        </w:rPr>
      </w:pPr>
      <w:r w:rsidRPr="00826D69">
        <w:rPr>
          <w:sz w:val="22"/>
        </w:rPr>
        <w:t xml:space="preserve">Contributions are paid on a member’s </w:t>
      </w:r>
      <w:r w:rsidRPr="00826D69">
        <w:rPr>
          <w:sz w:val="22"/>
          <w:u w:val="single"/>
        </w:rPr>
        <w:t>actual salary</w:t>
      </w:r>
      <w:r w:rsidRPr="00826D69">
        <w:rPr>
          <w:sz w:val="22"/>
        </w:rPr>
        <w:t xml:space="preserve"> not full-time equivalent salary. This benefits part-time employees, the majority of whom are women.</w:t>
      </w:r>
    </w:p>
    <w:p w14:paraId="2C22FE22" w14:textId="77777777" w:rsidR="005F511A" w:rsidRPr="00826D69" w:rsidRDefault="005F511A" w:rsidP="005F511A">
      <w:pPr>
        <w:jc w:val="both"/>
        <w:rPr>
          <w:sz w:val="22"/>
        </w:rPr>
      </w:pPr>
    </w:p>
    <w:p w14:paraId="564D2C2A" w14:textId="303DF107" w:rsidR="00316127" w:rsidRPr="00826D69" w:rsidRDefault="005F511A" w:rsidP="005F511A">
      <w:pPr>
        <w:jc w:val="both"/>
        <w:rPr>
          <w:rFonts w:eastAsia="Times New Roman" w:cs="Arial"/>
          <w:sz w:val="22"/>
        </w:rPr>
      </w:pPr>
      <w:r w:rsidRPr="00826D69">
        <w:rPr>
          <w:sz w:val="22"/>
        </w:rPr>
        <w:t>The employer contribution</w:t>
      </w:r>
      <w:r w:rsidR="00BE4EBF">
        <w:rPr>
          <w:sz w:val="22"/>
        </w:rPr>
        <w:t xml:space="preserve"> rose from</w:t>
      </w:r>
      <w:r w:rsidR="005E7142">
        <w:rPr>
          <w:sz w:val="22"/>
        </w:rPr>
        <w:t xml:space="preserve"> 23.6 per cent to 28.8 per cent </w:t>
      </w:r>
      <w:r w:rsidR="00BE4EBF">
        <w:rPr>
          <w:sz w:val="22"/>
        </w:rPr>
        <w:t>in</w:t>
      </w:r>
      <w:r w:rsidR="005E7142">
        <w:rPr>
          <w:sz w:val="22"/>
        </w:rPr>
        <w:t xml:space="preserve"> </w:t>
      </w:r>
      <w:r w:rsidR="00B403F3">
        <w:rPr>
          <w:sz w:val="22"/>
        </w:rPr>
        <w:t>April 2024.</w:t>
      </w:r>
    </w:p>
    <w:p w14:paraId="53F1A11F" w14:textId="77777777" w:rsidR="005F511A" w:rsidRPr="00826D69" w:rsidRDefault="005F511A" w:rsidP="00360C38">
      <w:pPr>
        <w:rPr>
          <w:b/>
          <w:sz w:val="22"/>
        </w:rPr>
      </w:pPr>
    </w:p>
    <w:p w14:paraId="69A435ED" w14:textId="54E6858F" w:rsidR="00360C38" w:rsidRPr="00826D69" w:rsidRDefault="00360C38" w:rsidP="00360C38">
      <w:pPr>
        <w:rPr>
          <w:b/>
          <w:sz w:val="22"/>
        </w:rPr>
      </w:pPr>
      <w:r w:rsidRPr="00826D69">
        <w:rPr>
          <w:b/>
          <w:sz w:val="22"/>
        </w:rPr>
        <w:t>Interaction between final salary and career average rights</w:t>
      </w:r>
    </w:p>
    <w:p w14:paraId="5BB5A9CD" w14:textId="18AEF5B2" w:rsidR="00360C38" w:rsidRPr="00826D69" w:rsidRDefault="00360C38" w:rsidP="00360C38">
      <w:pPr>
        <w:jc w:val="both"/>
        <w:rPr>
          <w:sz w:val="22"/>
        </w:rPr>
      </w:pPr>
      <w:r w:rsidRPr="00826D69">
        <w:rPr>
          <w:sz w:val="22"/>
        </w:rPr>
        <w:t>From 20</w:t>
      </w:r>
      <w:r w:rsidR="0043003A" w:rsidRPr="00826D69">
        <w:rPr>
          <w:sz w:val="22"/>
        </w:rPr>
        <w:t>22</w:t>
      </w:r>
      <w:r w:rsidR="00C55A6F">
        <w:rPr>
          <w:sz w:val="22"/>
        </w:rPr>
        <w:t xml:space="preserve"> (or 2015 depending on their choice)</w:t>
      </w:r>
      <w:r w:rsidRPr="00826D69">
        <w:rPr>
          <w:sz w:val="22"/>
        </w:rPr>
        <w:t xml:space="preserve"> most teachers will have a split pension record. Part of their pension will be from the new career average scheme and part will be from their final salary scheme. </w:t>
      </w:r>
    </w:p>
    <w:p w14:paraId="633FFC1B" w14:textId="77777777" w:rsidR="00360C38" w:rsidRPr="00826D69" w:rsidRDefault="00360C38" w:rsidP="00360C38">
      <w:pPr>
        <w:jc w:val="both"/>
        <w:rPr>
          <w:sz w:val="22"/>
        </w:rPr>
      </w:pPr>
    </w:p>
    <w:p w14:paraId="28B78176" w14:textId="3DE5CCE9" w:rsidR="00360C38" w:rsidRPr="00826D69" w:rsidRDefault="00360C38" w:rsidP="00360C38">
      <w:pPr>
        <w:jc w:val="both"/>
        <w:rPr>
          <w:sz w:val="22"/>
        </w:rPr>
      </w:pPr>
      <w:r w:rsidRPr="00826D69">
        <w:rPr>
          <w:sz w:val="22"/>
        </w:rPr>
        <w:t xml:space="preserve">The final salary pension will be based on the teacher’s salary when they leave teaching (or the period leading up to it), </w:t>
      </w:r>
      <w:r w:rsidRPr="00826D69">
        <w:rPr>
          <w:sz w:val="22"/>
          <w:u w:val="single"/>
        </w:rPr>
        <w:t>not</w:t>
      </w:r>
      <w:r w:rsidRPr="00826D69">
        <w:rPr>
          <w:sz w:val="22"/>
        </w:rPr>
        <w:t xml:space="preserve"> their salary in 20</w:t>
      </w:r>
      <w:r w:rsidR="0043003A" w:rsidRPr="00826D69">
        <w:rPr>
          <w:sz w:val="22"/>
        </w:rPr>
        <w:t>22</w:t>
      </w:r>
      <w:r w:rsidRPr="00826D69">
        <w:rPr>
          <w:sz w:val="22"/>
        </w:rPr>
        <w:t>.</w:t>
      </w:r>
    </w:p>
    <w:p w14:paraId="22EE43B1" w14:textId="77777777" w:rsidR="00360C38" w:rsidRPr="00826D69" w:rsidRDefault="00360C38" w:rsidP="00360C38">
      <w:pPr>
        <w:jc w:val="both"/>
        <w:rPr>
          <w:sz w:val="22"/>
        </w:rPr>
      </w:pPr>
    </w:p>
    <w:p w14:paraId="29A79D24" w14:textId="77777777" w:rsidR="00360C38" w:rsidRPr="00826D69" w:rsidRDefault="00360C38" w:rsidP="00360C38">
      <w:pPr>
        <w:jc w:val="both"/>
        <w:rPr>
          <w:sz w:val="22"/>
        </w:rPr>
      </w:pPr>
      <w:r w:rsidRPr="00826D69">
        <w:rPr>
          <w:sz w:val="22"/>
        </w:rPr>
        <w:t xml:space="preserve">Teachers will understandably want to take their final salary pension rights at their final salary normal pension age (NB – there is no enhancement to NPA 60 pension rights if teachers work beyond 60) Teachers can in theory take their final salary pension in full at their scheme pension age (either 60 or 65). This is easier said than done because they will have to end their contract to get it. Currently scheme rules allow teachers to opt out of the pension scheme to claim their pension rights but there is no guarantee that this will still be in place in 10+ years. </w:t>
      </w:r>
    </w:p>
    <w:p w14:paraId="1E443EA1" w14:textId="77777777" w:rsidR="00360C38" w:rsidRPr="00826D69" w:rsidRDefault="00360C38" w:rsidP="00360C38">
      <w:pPr>
        <w:jc w:val="both"/>
        <w:rPr>
          <w:sz w:val="22"/>
        </w:rPr>
      </w:pPr>
    </w:p>
    <w:p w14:paraId="3B236414" w14:textId="77777777" w:rsidR="00141158" w:rsidRPr="00826D69" w:rsidRDefault="00360C38" w:rsidP="00360C38">
      <w:pPr>
        <w:jc w:val="both"/>
        <w:rPr>
          <w:sz w:val="22"/>
        </w:rPr>
      </w:pPr>
      <w:r w:rsidRPr="00826D69">
        <w:rPr>
          <w:sz w:val="22"/>
        </w:rPr>
        <w:t xml:space="preserve">There is also the question of whether teachers have to take their career average pension when they take their final salary pension. </w:t>
      </w:r>
    </w:p>
    <w:p w14:paraId="57C338F1" w14:textId="77777777" w:rsidR="00141158" w:rsidRPr="00826D69" w:rsidRDefault="00141158" w:rsidP="00360C38">
      <w:pPr>
        <w:jc w:val="both"/>
        <w:rPr>
          <w:sz w:val="22"/>
        </w:rPr>
      </w:pPr>
    </w:p>
    <w:p w14:paraId="5E132DFF" w14:textId="77777777" w:rsidR="00D20101" w:rsidRPr="00826D69" w:rsidRDefault="00360C38" w:rsidP="00360C38">
      <w:pPr>
        <w:jc w:val="both"/>
        <w:rPr>
          <w:sz w:val="22"/>
        </w:rPr>
      </w:pPr>
      <w:r w:rsidRPr="00826D69">
        <w:rPr>
          <w:sz w:val="22"/>
        </w:rPr>
        <w:t>If teachers take their final salary pension at or beyond their final salary scheme pension age, they can take the two parts separately.</w:t>
      </w:r>
      <w:r w:rsidR="00D20101" w:rsidRPr="00826D69">
        <w:rPr>
          <w:sz w:val="22"/>
        </w:rPr>
        <w:t xml:space="preserve"> </w:t>
      </w:r>
    </w:p>
    <w:p w14:paraId="2C8F19BF" w14:textId="77777777" w:rsidR="00D20101" w:rsidRPr="00826D69" w:rsidRDefault="00D20101" w:rsidP="00360C38">
      <w:pPr>
        <w:jc w:val="both"/>
        <w:rPr>
          <w:sz w:val="22"/>
        </w:rPr>
      </w:pPr>
    </w:p>
    <w:p w14:paraId="0294B53E" w14:textId="4834FC74" w:rsidR="00360C38" w:rsidRPr="00826D69" w:rsidRDefault="00360C38" w:rsidP="00360C38">
      <w:pPr>
        <w:jc w:val="both"/>
        <w:rPr>
          <w:sz w:val="22"/>
        </w:rPr>
      </w:pPr>
      <w:r w:rsidRPr="00826D69">
        <w:rPr>
          <w:sz w:val="22"/>
        </w:rPr>
        <w:t>If t</w:t>
      </w:r>
      <w:r w:rsidR="00AF1276">
        <w:rPr>
          <w:sz w:val="22"/>
        </w:rPr>
        <w:t>eachers</w:t>
      </w:r>
      <w:r w:rsidRPr="00826D69">
        <w:rPr>
          <w:sz w:val="22"/>
        </w:rPr>
        <w:t xml:space="preserve"> take their final salary pension before their FS scheme pension age, they </w:t>
      </w:r>
      <w:r w:rsidRPr="00AF1276">
        <w:rPr>
          <w:b/>
          <w:bCs/>
          <w:sz w:val="22"/>
        </w:rPr>
        <w:t>must</w:t>
      </w:r>
      <w:r w:rsidRPr="00826D69">
        <w:rPr>
          <w:sz w:val="22"/>
        </w:rPr>
        <w:t xml:space="preserve"> take their career average pension rights as well. This would mean a large actuarial reduction in most cases.</w:t>
      </w:r>
    </w:p>
    <w:p w14:paraId="1DF9CAEA" w14:textId="77777777" w:rsidR="00360C38" w:rsidRPr="00826D69" w:rsidRDefault="00360C38" w:rsidP="00360C38">
      <w:pPr>
        <w:rPr>
          <w:sz w:val="22"/>
        </w:rPr>
      </w:pPr>
    </w:p>
    <w:p w14:paraId="51F2618C" w14:textId="02745D0E" w:rsidR="00F708AB" w:rsidRPr="00826D69" w:rsidRDefault="004D1A8F" w:rsidP="00F60DEA">
      <w:pPr>
        <w:jc w:val="both"/>
        <w:rPr>
          <w:b/>
          <w:sz w:val="22"/>
        </w:rPr>
      </w:pPr>
      <w:r>
        <w:rPr>
          <w:b/>
          <w:sz w:val="22"/>
        </w:rPr>
        <w:t>2020 actuarial valuation</w:t>
      </w:r>
    </w:p>
    <w:p w14:paraId="0909F40A" w14:textId="77777777" w:rsidR="00CD6198" w:rsidRDefault="00967EED" w:rsidP="00F60DEA">
      <w:pPr>
        <w:jc w:val="both"/>
        <w:rPr>
          <w:bCs/>
          <w:sz w:val="22"/>
        </w:rPr>
      </w:pPr>
      <w:r w:rsidRPr="00826D69">
        <w:rPr>
          <w:bCs/>
          <w:sz w:val="22"/>
        </w:rPr>
        <w:t>The 20</w:t>
      </w:r>
      <w:r w:rsidR="00536444">
        <w:rPr>
          <w:bCs/>
          <w:sz w:val="22"/>
        </w:rPr>
        <w:t>20</w:t>
      </w:r>
      <w:r w:rsidRPr="00826D69">
        <w:rPr>
          <w:bCs/>
          <w:sz w:val="22"/>
        </w:rPr>
        <w:t xml:space="preserve"> valuation has now been</w:t>
      </w:r>
      <w:r w:rsidR="00536444">
        <w:rPr>
          <w:bCs/>
          <w:sz w:val="22"/>
        </w:rPr>
        <w:t xml:space="preserve"> completed</w:t>
      </w:r>
      <w:r w:rsidRPr="00826D69">
        <w:rPr>
          <w:bCs/>
          <w:sz w:val="22"/>
        </w:rPr>
        <w:t xml:space="preserve"> including the cost of the ‘McCloud remedy’ (i.e. the choice between career average and final salary for most members for April 2015 to March 2022). </w:t>
      </w:r>
    </w:p>
    <w:p w14:paraId="09FF307E" w14:textId="77777777" w:rsidR="00CD6198" w:rsidRDefault="00CD6198" w:rsidP="00F60DEA">
      <w:pPr>
        <w:jc w:val="both"/>
        <w:rPr>
          <w:bCs/>
          <w:sz w:val="22"/>
        </w:rPr>
      </w:pPr>
    </w:p>
    <w:p w14:paraId="053661E1" w14:textId="6A6604AE" w:rsidR="00E70EEB" w:rsidRPr="00826D69" w:rsidRDefault="00CD6198" w:rsidP="00F60DEA">
      <w:pPr>
        <w:jc w:val="both"/>
        <w:rPr>
          <w:bCs/>
          <w:sz w:val="22"/>
        </w:rPr>
      </w:pPr>
      <w:r>
        <w:rPr>
          <w:bCs/>
          <w:sz w:val="22"/>
        </w:rPr>
        <w:t xml:space="preserve">The employer contribution </w:t>
      </w:r>
      <w:r w:rsidR="00751635">
        <w:rPr>
          <w:bCs/>
          <w:sz w:val="22"/>
        </w:rPr>
        <w:t>has increased</w:t>
      </w:r>
      <w:r>
        <w:rPr>
          <w:bCs/>
          <w:sz w:val="22"/>
        </w:rPr>
        <w:t xml:space="preserve"> from 23.6 per cent to 28.</w:t>
      </w:r>
      <w:r w:rsidR="00663E1F">
        <w:rPr>
          <w:bCs/>
          <w:sz w:val="22"/>
        </w:rPr>
        <w:t>6</w:t>
      </w:r>
      <w:r>
        <w:rPr>
          <w:bCs/>
          <w:sz w:val="22"/>
        </w:rPr>
        <w:t xml:space="preserve"> per cent. This is largely due to a change in the ‘discount rate’ – a rate of interest on scheme assets and liabilities</w:t>
      </w:r>
      <w:r w:rsidR="00870D57">
        <w:rPr>
          <w:bCs/>
          <w:sz w:val="22"/>
        </w:rPr>
        <w:t xml:space="preserve">. The Government cut the discount rate from CPI+2.4 per cent to CPI+1.7 per cent </w:t>
      </w:r>
      <w:r w:rsidR="00F054F6">
        <w:rPr>
          <w:bCs/>
          <w:sz w:val="22"/>
        </w:rPr>
        <w:t>for the 2020 valuation. This has overwhelmed other factors which would have made the scheme cheaper (</w:t>
      </w:r>
      <w:r w:rsidR="00F054F6" w:rsidRPr="00F054F6">
        <w:rPr>
          <w:bCs/>
          <w:sz w:val="22"/>
        </w:rPr>
        <w:t>people not living as long as expected, more teachers leaving the profession than expected and pay rises being well below expectations</w:t>
      </w:r>
      <w:r w:rsidR="00F054F6">
        <w:rPr>
          <w:bCs/>
          <w:sz w:val="22"/>
        </w:rPr>
        <w:t>).</w:t>
      </w:r>
      <w:r w:rsidR="0030461E">
        <w:rPr>
          <w:bCs/>
          <w:sz w:val="22"/>
        </w:rPr>
        <w:t xml:space="preserve"> There will be no change to the design of the TPS</w:t>
      </w:r>
      <w:r w:rsidR="00F6077B">
        <w:rPr>
          <w:bCs/>
          <w:sz w:val="22"/>
        </w:rPr>
        <w:t xml:space="preserve"> (i.e. no cut in future pension accrual).</w:t>
      </w:r>
    </w:p>
    <w:p w14:paraId="0B4E59D1" w14:textId="77777777" w:rsidR="00AB4D5D" w:rsidRPr="00826D69" w:rsidRDefault="00AB4D5D" w:rsidP="00F60DEA">
      <w:pPr>
        <w:jc w:val="both"/>
        <w:rPr>
          <w:bCs/>
          <w:sz w:val="22"/>
        </w:rPr>
      </w:pPr>
    </w:p>
    <w:p w14:paraId="76D579E9" w14:textId="7D693C61" w:rsidR="00F60DEA" w:rsidRPr="00826D69" w:rsidRDefault="00F60DEA" w:rsidP="00F60DEA">
      <w:pPr>
        <w:jc w:val="both"/>
        <w:rPr>
          <w:bCs/>
          <w:sz w:val="22"/>
        </w:rPr>
      </w:pPr>
      <w:r w:rsidRPr="00826D69">
        <w:rPr>
          <w:bCs/>
          <w:sz w:val="22"/>
        </w:rPr>
        <w:t>The Government</w:t>
      </w:r>
      <w:r w:rsidR="00910046">
        <w:rPr>
          <w:bCs/>
          <w:sz w:val="22"/>
        </w:rPr>
        <w:t xml:space="preserve"> will fund the</w:t>
      </w:r>
      <w:r w:rsidRPr="00826D69">
        <w:rPr>
          <w:bCs/>
          <w:sz w:val="22"/>
        </w:rPr>
        <w:t xml:space="preserve"> increase in costs for maintained schools, academies and further education providers</w:t>
      </w:r>
      <w:r w:rsidR="00FC3951">
        <w:rPr>
          <w:bCs/>
          <w:sz w:val="22"/>
        </w:rPr>
        <w:t xml:space="preserve">. We know that independent schools will not be funded, which means a </w:t>
      </w:r>
      <w:r w:rsidR="00765F5F">
        <w:rPr>
          <w:bCs/>
          <w:sz w:val="22"/>
        </w:rPr>
        <w:t xml:space="preserve">likely </w:t>
      </w:r>
      <w:r w:rsidR="00FC3951">
        <w:rPr>
          <w:bCs/>
          <w:sz w:val="22"/>
        </w:rPr>
        <w:t>continuation</w:t>
      </w:r>
      <w:r w:rsidR="00765F5F">
        <w:rPr>
          <w:bCs/>
          <w:sz w:val="22"/>
        </w:rPr>
        <w:t xml:space="preserve"> of the trend for independent schools to leave the TPS.</w:t>
      </w:r>
      <w:r w:rsidR="00BC7F31">
        <w:rPr>
          <w:bCs/>
          <w:sz w:val="22"/>
        </w:rPr>
        <w:t xml:space="preserve"> </w:t>
      </w:r>
      <w:r w:rsidR="000912CA">
        <w:rPr>
          <w:bCs/>
          <w:sz w:val="22"/>
        </w:rPr>
        <w:t>P</w:t>
      </w:r>
      <w:r w:rsidR="00BC7F31">
        <w:rPr>
          <w:bCs/>
          <w:sz w:val="22"/>
        </w:rPr>
        <w:t>ost-92 universities will also not be funded</w:t>
      </w:r>
      <w:r w:rsidR="00AF1276">
        <w:rPr>
          <w:bCs/>
          <w:sz w:val="22"/>
        </w:rPr>
        <w:t>.</w:t>
      </w:r>
    </w:p>
    <w:p w14:paraId="72869085" w14:textId="77777777" w:rsidR="00293A4C" w:rsidRPr="00826D69" w:rsidRDefault="00293A4C" w:rsidP="00F60DEA">
      <w:pPr>
        <w:jc w:val="both"/>
        <w:rPr>
          <w:bCs/>
          <w:sz w:val="22"/>
        </w:rPr>
      </w:pPr>
    </w:p>
    <w:p w14:paraId="6AEE365D" w14:textId="17A317D0" w:rsidR="00C15C48" w:rsidRPr="00826D69" w:rsidRDefault="00C15C48" w:rsidP="00F60DEA">
      <w:pPr>
        <w:jc w:val="both"/>
        <w:rPr>
          <w:b/>
          <w:sz w:val="22"/>
        </w:rPr>
      </w:pPr>
      <w:r w:rsidRPr="00826D69">
        <w:rPr>
          <w:b/>
          <w:sz w:val="22"/>
        </w:rPr>
        <w:t>Who is looking after your pension?</w:t>
      </w:r>
    </w:p>
    <w:p w14:paraId="1C208ED1" w14:textId="0C0CF0E8" w:rsidR="00C15C48" w:rsidRPr="00826D69" w:rsidRDefault="00C15C48" w:rsidP="00F60DEA">
      <w:pPr>
        <w:jc w:val="both"/>
        <w:rPr>
          <w:bCs/>
          <w:sz w:val="22"/>
        </w:rPr>
      </w:pPr>
      <w:r w:rsidRPr="00826D69">
        <w:rPr>
          <w:bCs/>
          <w:sz w:val="22"/>
        </w:rPr>
        <w:t>Most teachers don’t know who is administering their pension. Some even think it is the NEU</w:t>
      </w:r>
      <w:r w:rsidR="00A65A60" w:rsidRPr="00826D69">
        <w:rPr>
          <w:bCs/>
          <w:sz w:val="22"/>
        </w:rPr>
        <w:t xml:space="preserve"> which does this!</w:t>
      </w:r>
    </w:p>
    <w:p w14:paraId="1A4530D5" w14:textId="77777777" w:rsidR="00A65A60" w:rsidRPr="00826D69" w:rsidRDefault="00A65A60" w:rsidP="00F60DEA">
      <w:pPr>
        <w:jc w:val="both"/>
        <w:rPr>
          <w:bCs/>
          <w:sz w:val="22"/>
        </w:rPr>
      </w:pPr>
    </w:p>
    <w:p w14:paraId="20CFFFC1" w14:textId="7383E157" w:rsidR="00A65A60" w:rsidRPr="00826D69" w:rsidRDefault="00A65A60" w:rsidP="00F60DEA">
      <w:pPr>
        <w:jc w:val="both"/>
        <w:rPr>
          <w:bCs/>
          <w:sz w:val="22"/>
        </w:rPr>
      </w:pPr>
      <w:r w:rsidRPr="00826D69">
        <w:rPr>
          <w:bCs/>
          <w:sz w:val="22"/>
        </w:rPr>
        <w:t xml:space="preserve">In fact the Teachers’ Pension Scheme is administered by ‘Teachers’ Pensions’ which </w:t>
      </w:r>
      <w:r w:rsidR="0006417F" w:rsidRPr="00826D69">
        <w:rPr>
          <w:bCs/>
          <w:sz w:val="22"/>
        </w:rPr>
        <w:t>is run by Capita in Darlington.</w:t>
      </w:r>
      <w:r w:rsidR="007003CF" w:rsidRPr="00826D69">
        <w:rPr>
          <w:bCs/>
          <w:sz w:val="22"/>
        </w:rPr>
        <w:t xml:space="preserve"> While Capita has a questionable reputation, Teachers’ Pensions is generally run well.</w:t>
      </w:r>
    </w:p>
    <w:p w14:paraId="3B3337E7" w14:textId="77777777" w:rsidR="007003CF" w:rsidRPr="00826D69" w:rsidRDefault="007003CF" w:rsidP="00F60DEA">
      <w:pPr>
        <w:jc w:val="both"/>
        <w:rPr>
          <w:bCs/>
          <w:sz w:val="22"/>
        </w:rPr>
      </w:pPr>
    </w:p>
    <w:p w14:paraId="57FACFA5" w14:textId="3E27C5D5" w:rsidR="007003CF" w:rsidRPr="00826D69" w:rsidRDefault="007003CF" w:rsidP="00F60DEA">
      <w:pPr>
        <w:jc w:val="both"/>
        <w:rPr>
          <w:bCs/>
          <w:sz w:val="22"/>
        </w:rPr>
      </w:pPr>
      <w:r w:rsidRPr="00826D69">
        <w:rPr>
          <w:bCs/>
          <w:sz w:val="22"/>
        </w:rPr>
        <w:t>The T</w:t>
      </w:r>
      <w:r w:rsidR="00BB180E" w:rsidRPr="00826D69">
        <w:rPr>
          <w:bCs/>
          <w:sz w:val="22"/>
        </w:rPr>
        <w:t>eachers’ Pensions</w:t>
      </w:r>
      <w:r w:rsidRPr="00826D69">
        <w:rPr>
          <w:bCs/>
          <w:sz w:val="22"/>
        </w:rPr>
        <w:t xml:space="preserve"> website is </w:t>
      </w:r>
      <w:hyperlink r:id="rId15" w:history="1">
        <w:r w:rsidRPr="00826D69">
          <w:rPr>
            <w:rStyle w:val="Hyperlink"/>
            <w:bCs/>
            <w:sz w:val="22"/>
          </w:rPr>
          <w:t>www.teacherspensions.co.uk</w:t>
        </w:r>
      </w:hyperlink>
      <w:r w:rsidRPr="00826D69">
        <w:rPr>
          <w:bCs/>
          <w:sz w:val="22"/>
        </w:rPr>
        <w:t xml:space="preserve"> . Teachers </w:t>
      </w:r>
      <w:r w:rsidR="005354E4" w:rsidRPr="00826D69">
        <w:rPr>
          <w:bCs/>
          <w:sz w:val="22"/>
        </w:rPr>
        <w:t>should</w:t>
      </w:r>
      <w:r w:rsidRPr="00826D69">
        <w:rPr>
          <w:bCs/>
          <w:sz w:val="22"/>
        </w:rPr>
        <w:t xml:space="preserve"> go on the website and have a look around to get more understanding of their pension</w:t>
      </w:r>
      <w:r w:rsidR="005354E4" w:rsidRPr="00826D69">
        <w:rPr>
          <w:bCs/>
          <w:sz w:val="22"/>
        </w:rPr>
        <w:t xml:space="preserve">. In particular, teachers should register with the ‘MyPensionOnline’ service. It’s the only way to get </w:t>
      </w:r>
      <w:r w:rsidR="00D20101" w:rsidRPr="00826D69">
        <w:rPr>
          <w:bCs/>
          <w:sz w:val="22"/>
        </w:rPr>
        <w:t>pension statements</w:t>
      </w:r>
      <w:r w:rsidR="00AA3EE5" w:rsidRPr="00826D69">
        <w:rPr>
          <w:bCs/>
          <w:sz w:val="22"/>
        </w:rPr>
        <w:t xml:space="preserve"> which in most cases are updated monthly</w:t>
      </w:r>
      <w:r w:rsidR="00BB180E" w:rsidRPr="00826D69">
        <w:rPr>
          <w:bCs/>
          <w:sz w:val="22"/>
        </w:rPr>
        <w:t>.</w:t>
      </w:r>
    </w:p>
    <w:p w14:paraId="348BA43C" w14:textId="77777777" w:rsidR="00BB180E" w:rsidRPr="00826D69" w:rsidRDefault="00BB180E" w:rsidP="00F60DEA">
      <w:pPr>
        <w:jc w:val="both"/>
        <w:rPr>
          <w:bCs/>
          <w:sz w:val="22"/>
        </w:rPr>
      </w:pPr>
    </w:p>
    <w:p w14:paraId="63E472D6" w14:textId="4DF0D504" w:rsidR="00BB180E" w:rsidRPr="00826D69" w:rsidRDefault="00BB180E" w:rsidP="0006559D">
      <w:pPr>
        <w:jc w:val="both"/>
        <w:rPr>
          <w:bCs/>
          <w:sz w:val="22"/>
        </w:rPr>
      </w:pPr>
      <w:r w:rsidRPr="00826D69">
        <w:rPr>
          <w:bCs/>
          <w:sz w:val="22"/>
        </w:rPr>
        <w:t>Teachers’ Pensions can also be contacted by phone at 0345 6066166</w:t>
      </w:r>
      <w:r w:rsidR="00A15B49" w:rsidRPr="00826D69">
        <w:rPr>
          <w:bCs/>
          <w:sz w:val="22"/>
        </w:rPr>
        <w:t>. There is also a postal address</w:t>
      </w:r>
      <w:r w:rsidR="0006559D" w:rsidRPr="00826D69">
        <w:rPr>
          <w:bCs/>
          <w:sz w:val="22"/>
        </w:rPr>
        <w:t>:</w:t>
      </w:r>
      <w:r w:rsidR="00765F5F">
        <w:rPr>
          <w:bCs/>
          <w:sz w:val="22"/>
        </w:rPr>
        <w:t xml:space="preserve"> </w:t>
      </w:r>
      <w:r w:rsidR="0006559D" w:rsidRPr="00826D69">
        <w:rPr>
          <w:bCs/>
          <w:sz w:val="22"/>
        </w:rPr>
        <w:t>Teachers' Pensions</w:t>
      </w:r>
      <w:r w:rsidR="00765F5F">
        <w:rPr>
          <w:bCs/>
          <w:sz w:val="22"/>
        </w:rPr>
        <w:t xml:space="preserve">, </w:t>
      </w:r>
      <w:r w:rsidR="0006559D" w:rsidRPr="00826D69">
        <w:rPr>
          <w:bCs/>
          <w:sz w:val="22"/>
        </w:rPr>
        <w:t>11b Lingfield Point</w:t>
      </w:r>
      <w:r w:rsidR="00765F5F">
        <w:rPr>
          <w:bCs/>
          <w:sz w:val="22"/>
        </w:rPr>
        <w:t xml:space="preserve">, </w:t>
      </w:r>
      <w:r w:rsidR="0006559D" w:rsidRPr="00826D69">
        <w:rPr>
          <w:bCs/>
          <w:sz w:val="22"/>
        </w:rPr>
        <w:t>Darlington</w:t>
      </w:r>
      <w:r w:rsidR="00765F5F">
        <w:rPr>
          <w:bCs/>
          <w:sz w:val="22"/>
        </w:rPr>
        <w:t xml:space="preserve">, </w:t>
      </w:r>
      <w:r w:rsidR="0006559D" w:rsidRPr="00826D69">
        <w:rPr>
          <w:bCs/>
          <w:sz w:val="22"/>
        </w:rPr>
        <w:t>DL1 1AX</w:t>
      </w:r>
    </w:p>
    <w:p w14:paraId="241F4911" w14:textId="77777777" w:rsidR="0006417F" w:rsidRPr="00826D69" w:rsidRDefault="0006417F" w:rsidP="00F60DEA">
      <w:pPr>
        <w:jc w:val="both"/>
        <w:rPr>
          <w:bCs/>
          <w:sz w:val="22"/>
        </w:rPr>
      </w:pPr>
    </w:p>
    <w:p w14:paraId="23D49A6C" w14:textId="3C6B0E1D" w:rsidR="0006417F" w:rsidRPr="00F60DEA" w:rsidRDefault="001C28C4" w:rsidP="00F60DEA">
      <w:pPr>
        <w:jc w:val="both"/>
        <w:rPr>
          <w:bCs/>
          <w:sz w:val="22"/>
        </w:rPr>
      </w:pPr>
      <w:r w:rsidRPr="00826D69">
        <w:rPr>
          <w:bCs/>
          <w:sz w:val="22"/>
        </w:rPr>
        <w:t>NEU pensions material is also avai</w:t>
      </w:r>
      <w:r w:rsidR="000D0352">
        <w:rPr>
          <w:bCs/>
          <w:sz w:val="22"/>
        </w:rPr>
        <w:t xml:space="preserve">lable at </w:t>
      </w:r>
      <w:hyperlink r:id="rId16" w:history="1">
        <w:r w:rsidR="000D0352" w:rsidRPr="006E17C7">
          <w:rPr>
            <w:rStyle w:val="Hyperlink"/>
            <w:bCs/>
            <w:sz w:val="22"/>
          </w:rPr>
          <w:t>https://neu.org.uk/advice/your-rights-work/pensions</w:t>
        </w:r>
      </w:hyperlink>
      <w:r w:rsidR="000D0352">
        <w:rPr>
          <w:bCs/>
          <w:sz w:val="22"/>
        </w:rPr>
        <w:t xml:space="preserve"> </w:t>
      </w:r>
    </w:p>
    <w:p w14:paraId="2E0D5093" w14:textId="77777777" w:rsidR="00F60DEA" w:rsidRPr="00F60DEA" w:rsidRDefault="00F60DEA" w:rsidP="00F60DEA">
      <w:pPr>
        <w:jc w:val="both"/>
        <w:rPr>
          <w:bCs/>
          <w:sz w:val="22"/>
        </w:rPr>
      </w:pPr>
    </w:p>
    <w:sectPr w:rsidR="00F60DEA" w:rsidRPr="00F60DEA" w:rsidSect="008D7214">
      <w:footerReference w:type="default" r:id="rId17"/>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2E937" w14:textId="77777777" w:rsidR="008D7214" w:rsidRDefault="008D7214" w:rsidP="00EA56C6">
      <w:r>
        <w:separator/>
      </w:r>
    </w:p>
  </w:endnote>
  <w:endnote w:type="continuationSeparator" w:id="0">
    <w:p w14:paraId="4AE7DA8C" w14:textId="77777777" w:rsidR="008D7214" w:rsidRDefault="008D7214" w:rsidP="00EA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E1F44" w14:textId="77777777" w:rsidR="00103537" w:rsidRDefault="00103537">
    <w:pPr>
      <w:pStyle w:val="Footer"/>
      <w:jc w:val="right"/>
    </w:pPr>
    <w:r>
      <w:fldChar w:fldCharType="begin"/>
    </w:r>
    <w:r>
      <w:instrText xml:space="preserve"> PAGE   \* MERGEFORMAT </w:instrText>
    </w:r>
    <w:r>
      <w:fldChar w:fldCharType="separate"/>
    </w:r>
    <w:r>
      <w:rPr>
        <w:noProof/>
      </w:rPr>
      <w:t>2</w:t>
    </w:r>
    <w:r>
      <w:rPr>
        <w:noProof/>
      </w:rPr>
      <w:fldChar w:fldCharType="end"/>
    </w:r>
  </w:p>
  <w:p w14:paraId="61E2458B" w14:textId="77777777" w:rsidR="008B66E5" w:rsidRDefault="008B6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2050C" w14:textId="77777777" w:rsidR="008D7214" w:rsidRDefault="008D7214" w:rsidP="00EA56C6">
      <w:r>
        <w:separator/>
      </w:r>
    </w:p>
  </w:footnote>
  <w:footnote w:type="continuationSeparator" w:id="0">
    <w:p w14:paraId="4238B02A" w14:textId="77777777" w:rsidR="008D7214" w:rsidRDefault="008D7214" w:rsidP="00EA5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5A37C3"/>
    <w:multiLevelType w:val="hybridMultilevel"/>
    <w:tmpl w:val="FB9ACA00"/>
    <w:lvl w:ilvl="0" w:tplc="D68A1AB4">
      <w:start w:val="1"/>
      <w:numFmt w:val="bullet"/>
      <w:lvlText w:val="•"/>
      <w:lvlJc w:val="left"/>
      <w:pPr>
        <w:tabs>
          <w:tab w:val="num" w:pos="720"/>
        </w:tabs>
        <w:ind w:left="720" w:hanging="360"/>
      </w:pPr>
      <w:rPr>
        <w:rFonts w:ascii="Times New Roman" w:hAnsi="Times New Roman" w:hint="default"/>
      </w:rPr>
    </w:lvl>
    <w:lvl w:ilvl="1" w:tplc="DAE4E744" w:tentative="1">
      <w:start w:val="1"/>
      <w:numFmt w:val="bullet"/>
      <w:lvlText w:val="•"/>
      <w:lvlJc w:val="left"/>
      <w:pPr>
        <w:tabs>
          <w:tab w:val="num" w:pos="1440"/>
        </w:tabs>
        <w:ind w:left="1440" w:hanging="360"/>
      </w:pPr>
      <w:rPr>
        <w:rFonts w:ascii="Times New Roman" w:hAnsi="Times New Roman" w:hint="default"/>
      </w:rPr>
    </w:lvl>
    <w:lvl w:ilvl="2" w:tplc="B7AE2A22" w:tentative="1">
      <w:start w:val="1"/>
      <w:numFmt w:val="bullet"/>
      <w:lvlText w:val="•"/>
      <w:lvlJc w:val="left"/>
      <w:pPr>
        <w:tabs>
          <w:tab w:val="num" w:pos="2160"/>
        </w:tabs>
        <w:ind w:left="2160" w:hanging="360"/>
      </w:pPr>
      <w:rPr>
        <w:rFonts w:ascii="Times New Roman" w:hAnsi="Times New Roman" w:hint="default"/>
      </w:rPr>
    </w:lvl>
    <w:lvl w:ilvl="3" w:tplc="AAD0A028" w:tentative="1">
      <w:start w:val="1"/>
      <w:numFmt w:val="bullet"/>
      <w:lvlText w:val="•"/>
      <w:lvlJc w:val="left"/>
      <w:pPr>
        <w:tabs>
          <w:tab w:val="num" w:pos="2880"/>
        </w:tabs>
        <w:ind w:left="2880" w:hanging="360"/>
      </w:pPr>
      <w:rPr>
        <w:rFonts w:ascii="Times New Roman" w:hAnsi="Times New Roman" w:hint="default"/>
      </w:rPr>
    </w:lvl>
    <w:lvl w:ilvl="4" w:tplc="C2421388" w:tentative="1">
      <w:start w:val="1"/>
      <w:numFmt w:val="bullet"/>
      <w:lvlText w:val="•"/>
      <w:lvlJc w:val="left"/>
      <w:pPr>
        <w:tabs>
          <w:tab w:val="num" w:pos="3600"/>
        </w:tabs>
        <w:ind w:left="3600" w:hanging="360"/>
      </w:pPr>
      <w:rPr>
        <w:rFonts w:ascii="Times New Roman" w:hAnsi="Times New Roman" w:hint="default"/>
      </w:rPr>
    </w:lvl>
    <w:lvl w:ilvl="5" w:tplc="A15E1172" w:tentative="1">
      <w:start w:val="1"/>
      <w:numFmt w:val="bullet"/>
      <w:lvlText w:val="•"/>
      <w:lvlJc w:val="left"/>
      <w:pPr>
        <w:tabs>
          <w:tab w:val="num" w:pos="4320"/>
        </w:tabs>
        <w:ind w:left="4320" w:hanging="360"/>
      </w:pPr>
      <w:rPr>
        <w:rFonts w:ascii="Times New Roman" w:hAnsi="Times New Roman" w:hint="default"/>
      </w:rPr>
    </w:lvl>
    <w:lvl w:ilvl="6" w:tplc="89981354" w:tentative="1">
      <w:start w:val="1"/>
      <w:numFmt w:val="bullet"/>
      <w:lvlText w:val="•"/>
      <w:lvlJc w:val="left"/>
      <w:pPr>
        <w:tabs>
          <w:tab w:val="num" w:pos="5040"/>
        </w:tabs>
        <w:ind w:left="5040" w:hanging="360"/>
      </w:pPr>
      <w:rPr>
        <w:rFonts w:ascii="Times New Roman" w:hAnsi="Times New Roman" w:hint="default"/>
      </w:rPr>
    </w:lvl>
    <w:lvl w:ilvl="7" w:tplc="BE566E12" w:tentative="1">
      <w:start w:val="1"/>
      <w:numFmt w:val="bullet"/>
      <w:lvlText w:val="•"/>
      <w:lvlJc w:val="left"/>
      <w:pPr>
        <w:tabs>
          <w:tab w:val="num" w:pos="5760"/>
        </w:tabs>
        <w:ind w:left="5760" w:hanging="360"/>
      </w:pPr>
      <w:rPr>
        <w:rFonts w:ascii="Times New Roman" w:hAnsi="Times New Roman" w:hint="default"/>
      </w:rPr>
    </w:lvl>
    <w:lvl w:ilvl="8" w:tplc="23C808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8FA385E"/>
    <w:multiLevelType w:val="hybridMultilevel"/>
    <w:tmpl w:val="C2583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D72208"/>
    <w:multiLevelType w:val="multilevel"/>
    <w:tmpl w:val="85FA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D3B7C"/>
    <w:multiLevelType w:val="hybridMultilevel"/>
    <w:tmpl w:val="84041228"/>
    <w:lvl w:ilvl="0" w:tplc="99DC05CE">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B80C34"/>
    <w:multiLevelType w:val="hybridMultilevel"/>
    <w:tmpl w:val="D4AAFF4E"/>
    <w:lvl w:ilvl="0" w:tplc="FC6EB7FA">
      <w:start w:val="1"/>
      <w:numFmt w:val="lowerRoman"/>
      <w:lvlText w:val="%1)"/>
      <w:lvlJc w:val="right"/>
      <w:pPr>
        <w:tabs>
          <w:tab w:val="num" w:pos="720"/>
        </w:tabs>
        <w:ind w:left="720" w:hanging="360"/>
      </w:pPr>
    </w:lvl>
    <w:lvl w:ilvl="1" w:tplc="7A12694C" w:tentative="1">
      <w:start w:val="1"/>
      <w:numFmt w:val="lowerRoman"/>
      <w:lvlText w:val="%2)"/>
      <w:lvlJc w:val="right"/>
      <w:pPr>
        <w:tabs>
          <w:tab w:val="num" w:pos="1440"/>
        </w:tabs>
        <w:ind w:left="1440" w:hanging="360"/>
      </w:pPr>
    </w:lvl>
    <w:lvl w:ilvl="2" w:tplc="1C7E8F5E" w:tentative="1">
      <w:start w:val="1"/>
      <w:numFmt w:val="lowerRoman"/>
      <w:lvlText w:val="%3)"/>
      <w:lvlJc w:val="right"/>
      <w:pPr>
        <w:tabs>
          <w:tab w:val="num" w:pos="2160"/>
        </w:tabs>
        <w:ind w:left="2160" w:hanging="360"/>
      </w:pPr>
    </w:lvl>
    <w:lvl w:ilvl="3" w:tplc="A4444196" w:tentative="1">
      <w:start w:val="1"/>
      <w:numFmt w:val="lowerRoman"/>
      <w:lvlText w:val="%4)"/>
      <w:lvlJc w:val="right"/>
      <w:pPr>
        <w:tabs>
          <w:tab w:val="num" w:pos="2880"/>
        </w:tabs>
        <w:ind w:left="2880" w:hanging="360"/>
      </w:pPr>
    </w:lvl>
    <w:lvl w:ilvl="4" w:tplc="92B82C56" w:tentative="1">
      <w:start w:val="1"/>
      <w:numFmt w:val="lowerRoman"/>
      <w:lvlText w:val="%5)"/>
      <w:lvlJc w:val="right"/>
      <w:pPr>
        <w:tabs>
          <w:tab w:val="num" w:pos="3600"/>
        </w:tabs>
        <w:ind w:left="3600" w:hanging="360"/>
      </w:pPr>
    </w:lvl>
    <w:lvl w:ilvl="5" w:tplc="4E86E2FE" w:tentative="1">
      <w:start w:val="1"/>
      <w:numFmt w:val="lowerRoman"/>
      <w:lvlText w:val="%6)"/>
      <w:lvlJc w:val="right"/>
      <w:pPr>
        <w:tabs>
          <w:tab w:val="num" w:pos="4320"/>
        </w:tabs>
        <w:ind w:left="4320" w:hanging="360"/>
      </w:pPr>
    </w:lvl>
    <w:lvl w:ilvl="6" w:tplc="B1F800F8" w:tentative="1">
      <w:start w:val="1"/>
      <w:numFmt w:val="lowerRoman"/>
      <w:lvlText w:val="%7)"/>
      <w:lvlJc w:val="right"/>
      <w:pPr>
        <w:tabs>
          <w:tab w:val="num" w:pos="5040"/>
        </w:tabs>
        <w:ind w:left="5040" w:hanging="360"/>
      </w:pPr>
    </w:lvl>
    <w:lvl w:ilvl="7" w:tplc="94A05AB0" w:tentative="1">
      <w:start w:val="1"/>
      <w:numFmt w:val="lowerRoman"/>
      <w:lvlText w:val="%8)"/>
      <w:lvlJc w:val="right"/>
      <w:pPr>
        <w:tabs>
          <w:tab w:val="num" w:pos="5760"/>
        </w:tabs>
        <w:ind w:left="5760" w:hanging="360"/>
      </w:pPr>
    </w:lvl>
    <w:lvl w:ilvl="8" w:tplc="709205D6" w:tentative="1">
      <w:start w:val="1"/>
      <w:numFmt w:val="lowerRoman"/>
      <w:lvlText w:val="%9)"/>
      <w:lvlJc w:val="right"/>
      <w:pPr>
        <w:tabs>
          <w:tab w:val="num" w:pos="6480"/>
        </w:tabs>
        <w:ind w:left="6480" w:hanging="360"/>
      </w:pPr>
    </w:lvl>
  </w:abstractNum>
  <w:abstractNum w:abstractNumId="5" w15:restartNumberingAfterBreak="0">
    <w:nsid w:val="69D55111"/>
    <w:multiLevelType w:val="hybridMultilevel"/>
    <w:tmpl w:val="85CEBFEA"/>
    <w:lvl w:ilvl="0" w:tplc="171A8990">
      <w:start w:val="2"/>
      <w:numFmt w:val="lowerRoman"/>
      <w:lvlText w:val="%1)"/>
      <w:lvlJc w:val="right"/>
      <w:pPr>
        <w:tabs>
          <w:tab w:val="num" w:pos="720"/>
        </w:tabs>
        <w:ind w:left="720" w:hanging="360"/>
      </w:pPr>
    </w:lvl>
    <w:lvl w:ilvl="1" w:tplc="F502EDAC" w:tentative="1">
      <w:start w:val="1"/>
      <w:numFmt w:val="lowerRoman"/>
      <w:lvlText w:val="%2)"/>
      <w:lvlJc w:val="right"/>
      <w:pPr>
        <w:tabs>
          <w:tab w:val="num" w:pos="1440"/>
        </w:tabs>
        <w:ind w:left="1440" w:hanging="360"/>
      </w:pPr>
    </w:lvl>
    <w:lvl w:ilvl="2" w:tplc="934C43DC" w:tentative="1">
      <w:start w:val="1"/>
      <w:numFmt w:val="lowerRoman"/>
      <w:lvlText w:val="%3)"/>
      <w:lvlJc w:val="right"/>
      <w:pPr>
        <w:tabs>
          <w:tab w:val="num" w:pos="2160"/>
        </w:tabs>
        <w:ind w:left="2160" w:hanging="360"/>
      </w:pPr>
    </w:lvl>
    <w:lvl w:ilvl="3" w:tplc="DA5212E2" w:tentative="1">
      <w:start w:val="1"/>
      <w:numFmt w:val="lowerRoman"/>
      <w:lvlText w:val="%4)"/>
      <w:lvlJc w:val="right"/>
      <w:pPr>
        <w:tabs>
          <w:tab w:val="num" w:pos="2880"/>
        </w:tabs>
        <w:ind w:left="2880" w:hanging="360"/>
      </w:pPr>
    </w:lvl>
    <w:lvl w:ilvl="4" w:tplc="A8DEED7C" w:tentative="1">
      <w:start w:val="1"/>
      <w:numFmt w:val="lowerRoman"/>
      <w:lvlText w:val="%5)"/>
      <w:lvlJc w:val="right"/>
      <w:pPr>
        <w:tabs>
          <w:tab w:val="num" w:pos="3600"/>
        </w:tabs>
        <w:ind w:left="3600" w:hanging="360"/>
      </w:pPr>
    </w:lvl>
    <w:lvl w:ilvl="5" w:tplc="2F30B434" w:tentative="1">
      <w:start w:val="1"/>
      <w:numFmt w:val="lowerRoman"/>
      <w:lvlText w:val="%6)"/>
      <w:lvlJc w:val="right"/>
      <w:pPr>
        <w:tabs>
          <w:tab w:val="num" w:pos="4320"/>
        </w:tabs>
        <w:ind w:left="4320" w:hanging="360"/>
      </w:pPr>
    </w:lvl>
    <w:lvl w:ilvl="6" w:tplc="E21A93AC" w:tentative="1">
      <w:start w:val="1"/>
      <w:numFmt w:val="lowerRoman"/>
      <w:lvlText w:val="%7)"/>
      <w:lvlJc w:val="right"/>
      <w:pPr>
        <w:tabs>
          <w:tab w:val="num" w:pos="5040"/>
        </w:tabs>
        <w:ind w:left="5040" w:hanging="360"/>
      </w:pPr>
    </w:lvl>
    <w:lvl w:ilvl="7" w:tplc="B2B662F2" w:tentative="1">
      <w:start w:val="1"/>
      <w:numFmt w:val="lowerRoman"/>
      <w:lvlText w:val="%8)"/>
      <w:lvlJc w:val="right"/>
      <w:pPr>
        <w:tabs>
          <w:tab w:val="num" w:pos="5760"/>
        </w:tabs>
        <w:ind w:left="5760" w:hanging="360"/>
      </w:pPr>
    </w:lvl>
    <w:lvl w:ilvl="8" w:tplc="4348B824" w:tentative="1">
      <w:start w:val="1"/>
      <w:numFmt w:val="lowerRoman"/>
      <w:lvlText w:val="%9)"/>
      <w:lvlJc w:val="right"/>
      <w:pPr>
        <w:tabs>
          <w:tab w:val="num" w:pos="6480"/>
        </w:tabs>
        <w:ind w:left="6480" w:hanging="360"/>
      </w:pPr>
    </w:lvl>
  </w:abstractNum>
  <w:num w:numId="1" w16cid:durableId="898904261">
    <w:abstractNumId w:val="3"/>
  </w:num>
  <w:num w:numId="2" w16cid:durableId="819229465">
    <w:abstractNumId w:val="2"/>
  </w:num>
  <w:num w:numId="3" w16cid:durableId="1186097258">
    <w:abstractNumId w:val="1"/>
  </w:num>
  <w:num w:numId="4" w16cid:durableId="2075079418">
    <w:abstractNumId w:val="0"/>
  </w:num>
  <w:num w:numId="5" w16cid:durableId="1304577267">
    <w:abstractNumId w:val="4"/>
  </w:num>
  <w:num w:numId="6" w16cid:durableId="1548377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3F"/>
    <w:rsid w:val="00014FC6"/>
    <w:rsid w:val="00042297"/>
    <w:rsid w:val="00042C60"/>
    <w:rsid w:val="00057BA7"/>
    <w:rsid w:val="0006417F"/>
    <w:rsid w:val="0006559D"/>
    <w:rsid w:val="0008572F"/>
    <w:rsid w:val="000912CA"/>
    <w:rsid w:val="000C25AC"/>
    <w:rsid w:val="000D0352"/>
    <w:rsid w:val="000D3D90"/>
    <w:rsid w:val="000D69B5"/>
    <w:rsid w:val="000E44AA"/>
    <w:rsid w:val="000E6CBF"/>
    <w:rsid w:val="000F5E71"/>
    <w:rsid w:val="00103537"/>
    <w:rsid w:val="001037B8"/>
    <w:rsid w:val="0011674C"/>
    <w:rsid w:val="0012163C"/>
    <w:rsid w:val="001303BC"/>
    <w:rsid w:val="00130C52"/>
    <w:rsid w:val="00141158"/>
    <w:rsid w:val="001433AE"/>
    <w:rsid w:val="001649CF"/>
    <w:rsid w:val="001651C8"/>
    <w:rsid w:val="001739DB"/>
    <w:rsid w:val="001840FB"/>
    <w:rsid w:val="00191BCF"/>
    <w:rsid w:val="00195BDB"/>
    <w:rsid w:val="001A2ABA"/>
    <w:rsid w:val="001A7A50"/>
    <w:rsid w:val="001C28C4"/>
    <w:rsid w:val="001D2FD3"/>
    <w:rsid w:val="001E2A03"/>
    <w:rsid w:val="002061D4"/>
    <w:rsid w:val="0021257C"/>
    <w:rsid w:val="00220AE1"/>
    <w:rsid w:val="00221318"/>
    <w:rsid w:val="00221C11"/>
    <w:rsid w:val="0024376B"/>
    <w:rsid w:val="00246584"/>
    <w:rsid w:val="00250E59"/>
    <w:rsid w:val="00251587"/>
    <w:rsid w:val="002520A5"/>
    <w:rsid w:val="002759E5"/>
    <w:rsid w:val="00293A4C"/>
    <w:rsid w:val="002B174D"/>
    <w:rsid w:val="002C02F7"/>
    <w:rsid w:val="002D274A"/>
    <w:rsid w:val="002D3740"/>
    <w:rsid w:val="002E2388"/>
    <w:rsid w:val="002F7649"/>
    <w:rsid w:val="00300B7C"/>
    <w:rsid w:val="0030461E"/>
    <w:rsid w:val="00304DF2"/>
    <w:rsid w:val="00312A81"/>
    <w:rsid w:val="00316127"/>
    <w:rsid w:val="00330AFE"/>
    <w:rsid w:val="003364D3"/>
    <w:rsid w:val="0034104F"/>
    <w:rsid w:val="003460F2"/>
    <w:rsid w:val="00356B9B"/>
    <w:rsid w:val="00356C3F"/>
    <w:rsid w:val="00360C38"/>
    <w:rsid w:val="003752AE"/>
    <w:rsid w:val="003848FC"/>
    <w:rsid w:val="003874CA"/>
    <w:rsid w:val="00392748"/>
    <w:rsid w:val="00392D93"/>
    <w:rsid w:val="003A0A4F"/>
    <w:rsid w:val="003A153B"/>
    <w:rsid w:val="003C2E80"/>
    <w:rsid w:val="003C6A98"/>
    <w:rsid w:val="003D1169"/>
    <w:rsid w:val="003E154E"/>
    <w:rsid w:val="004103A8"/>
    <w:rsid w:val="00414958"/>
    <w:rsid w:val="00425C7C"/>
    <w:rsid w:val="0043003A"/>
    <w:rsid w:val="00431336"/>
    <w:rsid w:val="004352E3"/>
    <w:rsid w:val="00451297"/>
    <w:rsid w:val="00466857"/>
    <w:rsid w:val="00467C5C"/>
    <w:rsid w:val="004750F3"/>
    <w:rsid w:val="00492B12"/>
    <w:rsid w:val="004977B0"/>
    <w:rsid w:val="00497BE2"/>
    <w:rsid w:val="00497E1B"/>
    <w:rsid w:val="004B31F5"/>
    <w:rsid w:val="004B4349"/>
    <w:rsid w:val="004D1A8F"/>
    <w:rsid w:val="004D782E"/>
    <w:rsid w:val="004E3D0C"/>
    <w:rsid w:val="004F4C30"/>
    <w:rsid w:val="00501790"/>
    <w:rsid w:val="005045C8"/>
    <w:rsid w:val="0051591D"/>
    <w:rsid w:val="00515E84"/>
    <w:rsid w:val="00527B9B"/>
    <w:rsid w:val="005354E4"/>
    <w:rsid w:val="00536444"/>
    <w:rsid w:val="005406D9"/>
    <w:rsid w:val="005510BF"/>
    <w:rsid w:val="005528B9"/>
    <w:rsid w:val="0055331A"/>
    <w:rsid w:val="00580714"/>
    <w:rsid w:val="005867FA"/>
    <w:rsid w:val="005978F7"/>
    <w:rsid w:val="005A38FB"/>
    <w:rsid w:val="005B3C62"/>
    <w:rsid w:val="005B6465"/>
    <w:rsid w:val="005D4722"/>
    <w:rsid w:val="005E7142"/>
    <w:rsid w:val="005F511A"/>
    <w:rsid w:val="00610051"/>
    <w:rsid w:val="00640848"/>
    <w:rsid w:val="006465DF"/>
    <w:rsid w:val="006477DA"/>
    <w:rsid w:val="00656BAD"/>
    <w:rsid w:val="00663E1F"/>
    <w:rsid w:val="00665B70"/>
    <w:rsid w:val="006A2044"/>
    <w:rsid w:val="006A45B8"/>
    <w:rsid w:val="006D4E0E"/>
    <w:rsid w:val="006E527A"/>
    <w:rsid w:val="007003CF"/>
    <w:rsid w:val="0070051B"/>
    <w:rsid w:val="00702930"/>
    <w:rsid w:val="00735299"/>
    <w:rsid w:val="00735699"/>
    <w:rsid w:val="00743A5D"/>
    <w:rsid w:val="00744CA5"/>
    <w:rsid w:val="00746DEA"/>
    <w:rsid w:val="00750BD8"/>
    <w:rsid w:val="00751635"/>
    <w:rsid w:val="007571F5"/>
    <w:rsid w:val="00765F5F"/>
    <w:rsid w:val="00770B61"/>
    <w:rsid w:val="007814A4"/>
    <w:rsid w:val="007845BF"/>
    <w:rsid w:val="00785865"/>
    <w:rsid w:val="00794728"/>
    <w:rsid w:val="007A1CC7"/>
    <w:rsid w:val="007B5604"/>
    <w:rsid w:val="007D4DD9"/>
    <w:rsid w:val="0080499A"/>
    <w:rsid w:val="008102BA"/>
    <w:rsid w:val="008264F9"/>
    <w:rsid w:val="00826D69"/>
    <w:rsid w:val="00870D57"/>
    <w:rsid w:val="008803EE"/>
    <w:rsid w:val="00883E0F"/>
    <w:rsid w:val="008850AA"/>
    <w:rsid w:val="00886677"/>
    <w:rsid w:val="00892074"/>
    <w:rsid w:val="008A4695"/>
    <w:rsid w:val="008B66E5"/>
    <w:rsid w:val="008C22EC"/>
    <w:rsid w:val="008C3172"/>
    <w:rsid w:val="008C5486"/>
    <w:rsid w:val="008D7214"/>
    <w:rsid w:val="008E0997"/>
    <w:rsid w:val="008E4496"/>
    <w:rsid w:val="008F39EE"/>
    <w:rsid w:val="008F40F4"/>
    <w:rsid w:val="00910046"/>
    <w:rsid w:val="00920AD7"/>
    <w:rsid w:val="00920E14"/>
    <w:rsid w:val="00923EA6"/>
    <w:rsid w:val="0096615E"/>
    <w:rsid w:val="009666A6"/>
    <w:rsid w:val="00967EED"/>
    <w:rsid w:val="00986A26"/>
    <w:rsid w:val="009933FA"/>
    <w:rsid w:val="00993BE5"/>
    <w:rsid w:val="00995932"/>
    <w:rsid w:val="009C59DE"/>
    <w:rsid w:val="009D15D1"/>
    <w:rsid w:val="009E6C02"/>
    <w:rsid w:val="00A15B49"/>
    <w:rsid w:val="00A221BF"/>
    <w:rsid w:val="00A2356C"/>
    <w:rsid w:val="00A24B1F"/>
    <w:rsid w:val="00A46032"/>
    <w:rsid w:val="00A65A60"/>
    <w:rsid w:val="00A73B9E"/>
    <w:rsid w:val="00A80569"/>
    <w:rsid w:val="00A8395D"/>
    <w:rsid w:val="00A92828"/>
    <w:rsid w:val="00AA3EE5"/>
    <w:rsid w:val="00AB463D"/>
    <w:rsid w:val="00AB4D5D"/>
    <w:rsid w:val="00AB5EFB"/>
    <w:rsid w:val="00AF1276"/>
    <w:rsid w:val="00B03FAA"/>
    <w:rsid w:val="00B21FD5"/>
    <w:rsid w:val="00B252EC"/>
    <w:rsid w:val="00B305AE"/>
    <w:rsid w:val="00B30D8F"/>
    <w:rsid w:val="00B33E46"/>
    <w:rsid w:val="00B403F3"/>
    <w:rsid w:val="00B707F6"/>
    <w:rsid w:val="00B76552"/>
    <w:rsid w:val="00B9062A"/>
    <w:rsid w:val="00B95FCB"/>
    <w:rsid w:val="00BA44D0"/>
    <w:rsid w:val="00BB180E"/>
    <w:rsid w:val="00BC3C0E"/>
    <w:rsid w:val="00BC7F31"/>
    <w:rsid w:val="00BD74DC"/>
    <w:rsid w:val="00BE4EBF"/>
    <w:rsid w:val="00C15C48"/>
    <w:rsid w:val="00C3104E"/>
    <w:rsid w:val="00C328C5"/>
    <w:rsid w:val="00C33EF6"/>
    <w:rsid w:val="00C532B6"/>
    <w:rsid w:val="00C55A6F"/>
    <w:rsid w:val="00C659F4"/>
    <w:rsid w:val="00C726F4"/>
    <w:rsid w:val="00C746A7"/>
    <w:rsid w:val="00C85F27"/>
    <w:rsid w:val="00C90F2F"/>
    <w:rsid w:val="00C93BA4"/>
    <w:rsid w:val="00CA3759"/>
    <w:rsid w:val="00CA6B3D"/>
    <w:rsid w:val="00CA6E9F"/>
    <w:rsid w:val="00CB1AD6"/>
    <w:rsid w:val="00CC0F23"/>
    <w:rsid w:val="00CD42F6"/>
    <w:rsid w:val="00CD6198"/>
    <w:rsid w:val="00CE2F73"/>
    <w:rsid w:val="00CF6886"/>
    <w:rsid w:val="00D20101"/>
    <w:rsid w:val="00D403FF"/>
    <w:rsid w:val="00D647B7"/>
    <w:rsid w:val="00D8160A"/>
    <w:rsid w:val="00D81B5C"/>
    <w:rsid w:val="00D8203B"/>
    <w:rsid w:val="00D97773"/>
    <w:rsid w:val="00DB3471"/>
    <w:rsid w:val="00DC2659"/>
    <w:rsid w:val="00DC371B"/>
    <w:rsid w:val="00DF0ED8"/>
    <w:rsid w:val="00DF7917"/>
    <w:rsid w:val="00E24CDF"/>
    <w:rsid w:val="00E362D2"/>
    <w:rsid w:val="00E53D8D"/>
    <w:rsid w:val="00E54394"/>
    <w:rsid w:val="00E67ECB"/>
    <w:rsid w:val="00E70EEB"/>
    <w:rsid w:val="00E74C3A"/>
    <w:rsid w:val="00EA21B0"/>
    <w:rsid w:val="00EA56C6"/>
    <w:rsid w:val="00EA6C80"/>
    <w:rsid w:val="00EB236D"/>
    <w:rsid w:val="00EB6BAE"/>
    <w:rsid w:val="00EE4A52"/>
    <w:rsid w:val="00F016F7"/>
    <w:rsid w:val="00F0190A"/>
    <w:rsid w:val="00F054F6"/>
    <w:rsid w:val="00F0731A"/>
    <w:rsid w:val="00F234BC"/>
    <w:rsid w:val="00F272BD"/>
    <w:rsid w:val="00F422B4"/>
    <w:rsid w:val="00F6077B"/>
    <w:rsid w:val="00F60DEA"/>
    <w:rsid w:val="00F613DD"/>
    <w:rsid w:val="00F6243E"/>
    <w:rsid w:val="00F708AB"/>
    <w:rsid w:val="00F744FD"/>
    <w:rsid w:val="00F75AA3"/>
    <w:rsid w:val="00FB1A90"/>
    <w:rsid w:val="00FC3951"/>
    <w:rsid w:val="00FC3C6E"/>
    <w:rsid w:val="00FD5218"/>
    <w:rsid w:val="00FE4A87"/>
    <w:rsid w:val="00FE66DD"/>
    <w:rsid w:val="00FF1D1F"/>
    <w:rsid w:val="00FF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21DA5"/>
  <w15:chartTrackingRefBased/>
  <w15:docId w15:val="{2A124B9C-200A-43AF-BB24-40DBDBA3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5B8"/>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6C3F"/>
    <w:rPr>
      <w:color w:val="0000FF"/>
      <w:u w:val="single"/>
    </w:rPr>
  </w:style>
  <w:style w:type="paragraph" w:styleId="BalloonText">
    <w:name w:val="Balloon Text"/>
    <w:basedOn w:val="Normal"/>
    <w:link w:val="BalloonTextChar"/>
    <w:uiPriority w:val="99"/>
    <w:semiHidden/>
    <w:unhideWhenUsed/>
    <w:rsid w:val="008264F9"/>
    <w:rPr>
      <w:rFonts w:ascii="Tahoma" w:hAnsi="Tahoma" w:cs="Tahoma"/>
      <w:sz w:val="16"/>
      <w:szCs w:val="16"/>
    </w:rPr>
  </w:style>
  <w:style w:type="character" w:customStyle="1" w:styleId="BalloonTextChar">
    <w:name w:val="Balloon Text Char"/>
    <w:link w:val="BalloonText"/>
    <w:uiPriority w:val="99"/>
    <w:semiHidden/>
    <w:rsid w:val="008264F9"/>
    <w:rPr>
      <w:rFonts w:ascii="Tahoma" w:hAnsi="Tahoma" w:cs="Tahoma"/>
      <w:sz w:val="16"/>
      <w:szCs w:val="16"/>
      <w:lang w:eastAsia="en-US"/>
    </w:rPr>
  </w:style>
  <w:style w:type="character" w:styleId="FollowedHyperlink">
    <w:name w:val="FollowedHyperlink"/>
    <w:uiPriority w:val="99"/>
    <w:semiHidden/>
    <w:unhideWhenUsed/>
    <w:rsid w:val="00C85F27"/>
    <w:rPr>
      <w:color w:val="800080"/>
      <w:u w:val="single"/>
    </w:rPr>
  </w:style>
  <w:style w:type="table" w:styleId="TableGrid">
    <w:name w:val="Table Grid"/>
    <w:basedOn w:val="TableNormal"/>
    <w:uiPriority w:val="59"/>
    <w:rsid w:val="004D7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6C6"/>
    <w:pPr>
      <w:tabs>
        <w:tab w:val="center" w:pos="4513"/>
        <w:tab w:val="right" w:pos="9026"/>
      </w:tabs>
    </w:pPr>
  </w:style>
  <w:style w:type="character" w:customStyle="1" w:styleId="HeaderChar">
    <w:name w:val="Header Char"/>
    <w:link w:val="Header"/>
    <w:uiPriority w:val="99"/>
    <w:rsid w:val="00EA56C6"/>
    <w:rPr>
      <w:rFonts w:ascii="Arial" w:hAnsi="Arial"/>
      <w:sz w:val="24"/>
      <w:szCs w:val="22"/>
      <w:lang w:eastAsia="en-US"/>
    </w:rPr>
  </w:style>
  <w:style w:type="paragraph" w:styleId="Footer">
    <w:name w:val="footer"/>
    <w:basedOn w:val="Normal"/>
    <w:link w:val="FooterChar"/>
    <w:uiPriority w:val="99"/>
    <w:unhideWhenUsed/>
    <w:rsid w:val="00EA56C6"/>
    <w:pPr>
      <w:tabs>
        <w:tab w:val="center" w:pos="4513"/>
        <w:tab w:val="right" w:pos="9026"/>
      </w:tabs>
    </w:pPr>
  </w:style>
  <w:style w:type="character" w:customStyle="1" w:styleId="FooterChar">
    <w:name w:val="Footer Char"/>
    <w:link w:val="Footer"/>
    <w:uiPriority w:val="99"/>
    <w:rsid w:val="00EA56C6"/>
    <w:rPr>
      <w:rFonts w:ascii="Arial" w:hAnsi="Arial"/>
      <w:sz w:val="24"/>
      <w:szCs w:val="22"/>
      <w:lang w:eastAsia="en-US"/>
    </w:rPr>
  </w:style>
  <w:style w:type="paragraph" w:styleId="NormalWeb">
    <w:name w:val="Normal (Web)"/>
    <w:basedOn w:val="Normal"/>
    <w:rsid w:val="00360C38"/>
    <w:pPr>
      <w:spacing w:before="120" w:after="216"/>
    </w:pPr>
    <w:rPr>
      <w:rFonts w:ascii="Times New Roman" w:eastAsia="Times New Roman" w:hAnsi="Times New Roman"/>
      <w:szCs w:val="24"/>
      <w:lang w:eastAsia="en-GB"/>
    </w:rPr>
  </w:style>
  <w:style w:type="paragraph" w:customStyle="1" w:styleId="Default">
    <w:name w:val="Default"/>
    <w:rsid w:val="00360C38"/>
    <w:pPr>
      <w:autoSpaceDE w:val="0"/>
      <w:autoSpaceDN w:val="0"/>
      <w:adjustRightInd w:val="0"/>
    </w:pPr>
    <w:rPr>
      <w:rFonts w:ascii="Arial" w:eastAsia="Times New Roman" w:hAnsi="Arial" w:cs="Arial"/>
      <w:color w:val="000000"/>
      <w:sz w:val="24"/>
      <w:szCs w:val="24"/>
    </w:rPr>
  </w:style>
  <w:style w:type="character" w:styleId="UnresolvedMention">
    <w:name w:val="Unresolved Mention"/>
    <w:uiPriority w:val="99"/>
    <w:semiHidden/>
    <w:unhideWhenUsed/>
    <w:rsid w:val="00E67ECB"/>
    <w:rPr>
      <w:color w:val="605E5C"/>
      <w:shd w:val="clear" w:color="auto" w:fill="E1DFDD"/>
    </w:rPr>
  </w:style>
  <w:style w:type="paragraph" w:styleId="ListParagraph">
    <w:name w:val="List Paragraph"/>
    <w:basedOn w:val="Normal"/>
    <w:uiPriority w:val="34"/>
    <w:qFormat/>
    <w:rsid w:val="00F708AB"/>
    <w:pPr>
      <w:ind w:left="720"/>
      <w:contextualSpacing/>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2688347">
      <w:bodyDiv w:val="1"/>
      <w:marLeft w:val="0"/>
      <w:marRight w:val="0"/>
      <w:marTop w:val="0"/>
      <w:marBottom w:val="0"/>
      <w:divBdr>
        <w:top w:val="none" w:sz="0" w:space="0" w:color="auto"/>
        <w:left w:val="none" w:sz="0" w:space="0" w:color="auto"/>
        <w:bottom w:val="none" w:sz="0" w:space="0" w:color="auto"/>
        <w:right w:val="none" w:sz="0" w:space="0" w:color="auto"/>
      </w:divBdr>
      <w:divsChild>
        <w:div w:id="566503229">
          <w:marLeft w:val="547"/>
          <w:marRight w:val="0"/>
          <w:marTop w:val="77"/>
          <w:marBottom w:val="0"/>
          <w:divBdr>
            <w:top w:val="none" w:sz="0" w:space="0" w:color="auto"/>
            <w:left w:val="none" w:sz="0" w:space="0" w:color="auto"/>
            <w:bottom w:val="none" w:sz="0" w:space="0" w:color="auto"/>
            <w:right w:val="none" w:sz="0" w:space="0" w:color="auto"/>
          </w:divBdr>
        </w:div>
        <w:div w:id="1025012439">
          <w:marLeft w:val="634"/>
          <w:marRight w:val="0"/>
          <w:marTop w:val="77"/>
          <w:marBottom w:val="0"/>
          <w:divBdr>
            <w:top w:val="none" w:sz="0" w:space="0" w:color="auto"/>
            <w:left w:val="none" w:sz="0" w:space="0" w:color="auto"/>
            <w:bottom w:val="none" w:sz="0" w:space="0" w:color="auto"/>
            <w:right w:val="none" w:sz="0" w:space="0" w:color="auto"/>
          </w:divBdr>
        </w:div>
        <w:div w:id="1751193164">
          <w:marLeft w:val="634"/>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u.org.uk/advice/your-rights-work/pens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eu.org.uk/advice/your-rights-work/pens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eacherspensions.co.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eacherspens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9b43363-d306-428f-9a90-ff0a1622407e">
      <Terms xmlns="http://schemas.microsoft.com/office/infopath/2007/PartnerControls"/>
    </lcf76f155ced4ddcb4097134ff3c332f>
    <SharedWithUsers xmlns="ac094790-0df1-460b-a8d0-25dd127f1b3c">
      <UserInfo>
        <DisplayName/>
        <AccountId xsi:nil="true"/>
        <AccountType/>
      </UserInfo>
    </SharedWithUsers>
    <MediaLengthInSeconds xmlns="d9b43363-d306-428f-9a90-ff0a162240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0E0DB86D59142A9B2C2B27D7A1591" ma:contentTypeVersion="16" ma:contentTypeDescription="Create a new document." ma:contentTypeScope="" ma:versionID="c9bcd2b19afcc0e82f58e5ca12a0df1a">
  <xsd:schema xmlns:xsd="http://www.w3.org/2001/XMLSchema" xmlns:xs="http://www.w3.org/2001/XMLSchema" xmlns:p="http://schemas.microsoft.com/office/2006/metadata/properties" xmlns:ns1="http://schemas.microsoft.com/sharepoint/v3" xmlns:ns2="d9b43363-d306-428f-9a90-ff0a1622407e" xmlns:ns3="ac094790-0df1-460b-a8d0-25dd127f1b3c" targetNamespace="http://schemas.microsoft.com/office/2006/metadata/properties" ma:root="true" ma:fieldsID="96c0071b9abd24493f95307c49f86c36" ns1:_="" ns2:_="" ns3:_="">
    <xsd:import namespace="http://schemas.microsoft.com/sharepoint/v3"/>
    <xsd:import namespace="d9b43363-d306-428f-9a90-ff0a1622407e"/>
    <xsd:import namespace="ac094790-0df1-460b-a8d0-25dd127f1b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43363-d306-428f-9a90-ff0a16224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82d13f3-7ead-4941-a537-c142246438f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094790-0df1-460b-a8d0-25dd127f1b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491DA-57D2-4D84-BAEE-886D7142B970}">
  <ds:schemaRefs>
    <ds:schemaRef ds:uri="http://schemas.microsoft.com/office/2006/metadata/properties"/>
    <ds:schemaRef ds:uri="http://schemas.microsoft.com/office/infopath/2007/PartnerControls"/>
    <ds:schemaRef ds:uri="http://schemas.microsoft.com/sharepoint/v3"/>
    <ds:schemaRef ds:uri="d9b43363-d306-428f-9a90-ff0a1622407e"/>
    <ds:schemaRef ds:uri="ac094790-0df1-460b-a8d0-25dd127f1b3c"/>
  </ds:schemaRefs>
</ds:datastoreItem>
</file>

<file path=customXml/itemProps2.xml><?xml version="1.0" encoding="utf-8"?>
<ds:datastoreItem xmlns:ds="http://schemas.openxmlformats.org/officeDocument/2006/customXml" ds:itemID="{B4037FFC-9C43-4DD2-AE0B-A9195B839700}">
  <ds:schemaRefs>
    <ds:schemaRef ds:uri="http://schemas.microsoft.com/sharepoint/v3/contenttype/forms"/>
  </ds:schemaRefs>
</ds:datastoreItem>
</file>

<file path=customXml/itemProps3.xml><?xml version="1.0" encoding="utf-8"?>
<ds:datastoreItem xmlns:ds="http://schemas.openxmlformats.org/officeDocument/2006/customXml" ds:itemID="{0C5FF71F-DEEE-4494-B1F0-C5BEF942F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b43363-d306-428f-9a90-ff0a1622407e"/>
    <ds:schemaRef ds:uri="ac094790-0df1-460b-a8d0-25dd127f1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99A9E-5012-4925-84E4-787B5BF1C011}">
  <ds:schemaRefs>
    <ds:schemaRef ds:uri="http://schemas.microsoft.com/office/2006/metadata/longProperties"/>
  </ds:schemaRefs>
</ds:datastoreItem>
</file>

<file path=customXml/itemProps5.xml><?xml version="1.0" encoding="utf-8"?>
<ds:datastoreItem xmlns:ds="http://schemas.openxmlformats.org/officeDocument/2006/customXml" ds:itemID="{F5737325-38B9-4CF3-9EDE-695CFD6A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1704</Words>
  <Characters>9713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National Union of Teachers</Company>
  <LinksUpToDate>false</LinksUpToDate>
  <CharactersWithSpaces>11395</CharactersWithSpaces>
  <SharedDoc>false</SharedDoc>
  <HLinks>
    <vt:vector size="12" baseType="variant">
      <vt:variant>
        <vt:i4>7602274</vt:i4>
      </vt:variant>
      <vt:variant>
        <vt:i4>3</vt:i4>
      </vt:variant>
      <vt:variant>
        <vt:i4>0</vt:i4>
      </vt:variant>
      <vt:variant>
        <vt:i4>5</vt:i4>
      </vt:variant>
      <vt:variant>
        <vt:lpwstr>https://www.teacherspensions.co.uk/</vt:lpwstr>
      </vt:variant>
      <vt:variant>
        <vt:lpwstr/>
      </vt:variant>
      <vt:variant>
        <vt:i4>7602288</vt:i4>
      </vt:variant>
      <vt:variant>
        <vt:i4>0</vt:i4>
      </vt:variant>
      <vt:variant>
        <vt:i4>0</vt:i4>
      </vt:variant>
      <vt:variant>
        <vt:i4>5</vt:i4>
      </vt:variant>
      <vt:variant>
        <vt:lpwstr>https://neu.org.uk/pensions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Kirby</dc:creator>
  <cp:keywords/>
  <cp:lastModifiedBy>Fay Igbinnosa</cp:lastModifiedBy>
  <cp:revision>2</cp:revision>
  <cp:lastPrinted>2018-04-11T14:50:00Z</cp:lastPrinted>
  <dcterms:created xsi:type="dcterms:W3CDTF">2024-04-19T09:23:00Z</dcterms:created>
  <dcterms:modified xsi:type="dcterms:W3CDTF">2024-04-19T09:23:00Z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Nick Kirby</vt:lpwstr>
  </property>
  <property fmtid="{D5CDD505-2E9C-101B-9397-08002B2CF9AE}" pid="3" name="Order">
    <vt:r8>2691800</vt:r8>
  </property>
  <property fmtid="{D5CDD505-2E9C-101B-9397-08002B2CF9AE}" pid="4" name="display_urn:schemas-microsoft-com:office:office#Author">
    <vt:lpwstr>Nick Kirby</vt:lpwstr>
  </property>
  <property fmtid="{D5CDD505-2E9C-101B-9397-08002B2CF9AE}" pid="5" name="ContentTypeId">
    <vt:lpwstr>0x010100E960E0DB86D59142A9B2C2B27D7A1591</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